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rPr>
      </w:pPr>
      <w:r>
        <w:rPr>
          <w:rFonts w:hint="eastAsia"/>
        </w:rPr>
        <w:t>様式第</w:t>
      </w:r>
      <w:r>
        <w:rPr>
          <w:rFonts w:hint="eastAsia"/>
        </w:rPr>
        <w:t>31</w:t>
      </w:r>
      <w:r>
        <w:rPr>
          <w:rFonts w:hint="eastAsia"/>
        </w:rPr>
        <w:t>号（第</w:t>
      </w:r>
      <w:r>
        <w:rPr>
          <w:rFonts w:hint="eastAsia"/>
        </w:rPr>
        <w:t>63</w:t>
      </w:r>
      <w:r>
        <w:rPr>
          <w:rFonts w:hint="eastAsia"/>
        </w:rPr>
        <w:t>条関係）</w:t>
      </w:r>
    </w:p>
    <w:p>
      <w:pPr>
        <w:pStyle w:val="0"/>
        <w:topLinePunct w:val="1"/>
        <w:autoSpaceDE w:val="0"/>
        <w:autoSpaceDN w:val="0"/>
        <w:jc w:val="center"/>
        <w:rPr>
          <w:rFonts w:hint="eastAsia"/>
        </w:rPr>
      </w:pPr>
      <w:r>
        <w:rPr>
          <w:rFonts w:hint="eastAsia"/>
          <w:dstrike w:val="1"/>
        </w:rPr>
        <mc:AlternateContent>
          <mc:Choice Requires="wps">
            <w:drawing>
              <wp:anchor simplePos="0" relativeHeight="4" behindDoc="0" locked="0" layoutInCell="1" hidden="0" allowOverlap="1">
                <wp:simplePos x="0" y="0"/>
                <wp:positionH relativeFrom="column">
                  <wp:posOffset>444500</wp:posOffset>
                </wp:positionH>
                <wp:positionV relativeFrom="paragraph">
                  <wp:posOffset>0</wp:posOffset>
                </wp:positionV>
                <wp:extent cx="99568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95680" cy="416560"/>
                        </a:xfrm>
                        <a:prstGeom prst="rect">
                          <a:avLst/>
                        </a:prstGeom>
                        <a:noFill/>
                        <a:ln w="19050">
                          <a:solidFill>
                            <a:sysClr val="windowText" lastClr="000000"/>
                          </a:solidFill>
                          <a:miter/>
                        </a:ln>
                      </wps:spPr>
                      <wps:txbx>
                        <w:txbxContent>
                          <w:p>
                            <w:pPr>
                              <w:pStyle w:val="0"/>
                              <w:jc w:val="center"/>
                              <w:rPr>
                                <w:rFonts w:hint="default" w:ascii="ＭＳ ゴシック" w:hAnsi="ＭＳ ゴシック" w:eastAsia="ＭＳ ゴシック"/>
                                <w:b w:val="1"/>
                                <w:spacing w:val="-10"/>
                                <w:sz w:val="36"/>
                              </w:rPr>
                            </w:pPr>
                            <w:r>
                              <w:rPr>
                                <w:rFonts w:hint="eastAsia" w:ascii="ＭＳ ゴシック" w:hAnsi="ＭＳ ゴシック" w:eastAsia="ＭＳ ゴシック"/>
                                <w:b w:val="1"/>
                                <w:spacing w:val="-10"/>
                                <w:sz w:val="36"/>
                              </w:rPr>
                              <w:t>記載例</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32.79pt;width:78.400000000000006pt;margin-left:35pt;z-index:4;" o:spid="_x0000_s1026" o:allowincell="t" o:allowoverlap="t" filled="f" stroked="t" strokecolor="#000000" strokeweight="1.5pt" o:spt="202" type="#_x0000_t202">
                <v:fill/>
                <v:stroke filltype="solid"/>
                <v:textbox style="layout-flow:horizontal;">
                  <w:txbxContent>
                    <w:p>
                      <w:pPr>
                        <w:pStyle w:val="0"/>
                        <w:jc w:val="center"/>
                        <w:rPr>
                          <w:rFonts w:hint="default" w:ascii="ＭＳ ゴシック" w:hAnsi="ＭＳ ゴシック" w:eastAsia="ＭＳ ゴシック"/>
                          <w:b w:val="1"/>
                          <w:spacing w:val="-10"/>
                          <w:sz w:val="36"/>
                        </w:rPr>
                      </w:pPr>
                      <w:r>
                        <w:rPr>
                          <w:rFonts w:hint="eastAsia" w:ascii="ＭＳ ゴシック" w:hAnsi="ＭＳ ゴシック" w:eastAsia="ＭＳ ゴシック"/>
                          <w:b w:val="1"/>
                          <w:spacing w:val="-10"/>
                          <w:sz w:val="36"/>
                        </w:rPr>
                        <w:t>記載例</w:t>
                      </w:r>
                    </w:p>
                  </w:txbxContent>
                </v:textbox>
                <v:imagedata o:title=""/>
                <w10:wrap type="none" anchorx="text" anchory="text"/>
              </v:shape>
            </w:pict>
          </mc:Fallback>
        </mc:AlternateContent>
      </w:r>
      <w:r>
        <w:rPr>
          <w:rFonts w:hint="eastAsia"/>
          <w:dstrike w:val="1"/>
        </w:rPr>
        <w:t>（特別管理）</w:t>
      </w:r>
      <w:r>
        <w:rPr>
          <w:rFonts w:hint="eastAsia"/>
        </w:rPr>
        <w:t>産業廃棄物処分実績報告書（</w:t>
      </w:r>
      <w:r>
        <w:rPr>
          <w:rFonts w:hint="eastAsia"/>
          <w:i w:val="1"/>
        </w:rPr>
        <w:t>令和○○</w:t>
      </w:r>
      <w:r>
        <w:rPr>
          <w:rFonts w:hint="eastAsia"/>
        </w:rPr>
        <w:t>年度実績）</w:t>
      </w:r>
      <w:bookmarkStart w:id="0" w:name="_GoBack"/>
      <w:bookmarkEnd w:id="0"/>
    </w:p>
    <w:p>
      <w:pPr>
        <w:pStyle w:val="0"/>
        <w:topLinePunct w:val="1"/>
        <w:autoSpaceDE w:val="0"/>
        <w:autoSpaceDN w:val="0"/>
        <w:jc w:val="center"/>
        <w:rPr>
          <w:rFonts w:hint="eastAsia"/>
        </w:rPr>
      </w:pPr>
      <w:r>
        <w:rPr>
          <w:rFonts w:hint="eastAsia"/>
        </w:rPr>
        <w:t>―中間処分業・最終処分業―</w:t>
      </w:r>
    </w:p>
    <w:p>
      <w:pPr>
        <w:pStyle w:val="0"/>
        <w:topLinePunct w:val="1"/>
        <w:autoSpaceDE w:val="0"/>
        <w:autoSpaceDN w:val="0"/>
        <w:ind w:right="-223"/>
        <w:rPr>
          <w:rFonts w:hint="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2984500</wp:posOffset>
                </wp:positionH>
                <wp:positionV relativeFrom="paragraph">
                  <wp:posOffset>35560</wp:posOffset>
                </wp:positionV>
                <wp:extent cx="2832100" cy="533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832100" cy="533400"/>
                        </a:xfrm>
                        <a:prstGeom prst="roundRect">
                          <a:avLst/>
                        </a:prstGeom>
                        <a:solidFill>
                          <a:schemeClr val="bg2"/>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0"/>
                              <w:spacing w:line="240" w:lineRule="auto"/>
                              <w:rPr>
                                <w:rFonts w:hint="eastAsia" w:ascii="Century" w:hAnsi="Century" w:eastAsia="ＭＳ ゴシック"/>
                                <w:color w:val="000000" w:themeColor="text1"/>
                                <w:spacing w:val="-14"/>
                              </w:rPr>
                            </w:pPr>
                            <w:r>
                              <w:rPr>
                                <w:rFonts w:hint="eastAsia" w:eastAsia="ＭＳ ゴシック"/>
                                <w:color w:val="000000" w:themeColor="text1"/>
                                <w:spacing w:val="-14"/>
                              </w:rPr>
                              <w:t>自社排出分は、算入しないこと。</w:t>
                            </w:r>
                          </w:p>
                          <w:p>
                            <w:pPr>
                              <w:pStyle w:val="20"/>
                              <w:spacing w:line="240" w:lineRule="auto"/>
                              <w:rPr>
                                <w:rFonts w:hint="default" w:ascii="Century" w:hAnsi="Century" w:eastAsia="ＭＳ ゴシック"/>
                                <w:color w:val="000000" w:themeColor="text1"/>
                                <w:spacing w:val="-14"/>
                              </w:rPr>
                            </w:pPr>
                            <w:r>
                              <w:rPr>
                                <w:rFonts w:hint="eastAsia" w:ascii="Century" w:hAnsi="Century" w:eastAsia="ＭＳ ゴシック"/>
                                <w:color w:val="000000" w:themeColor="text1"/>
                                <w:spacing w:val="-14"/>
                              </w:rPr>
                              <w:t>移動式施設は、長野市内で作業分のみ記載すること。</w:t>
                            </w:r>
                          </w:p>
                          <w:p>
                            <w:pPr>
                              <w:pStyle w:val="0"/>
                              <w:jc w:val="center"/>
                              <w:rPr>
                                <w:rFonts w:hint="eastAsia"/>
                                <w:color w:val="auto"/>
                              </w:rPr>
                            </w:pPr>
                          </w:p>
                        </w:txbxContent>
                      </wps:txbx>
                      <wps:bodyPr vertOverflow="overflow" horzOverflow="overflow" wrap="square" anchor="ctr"/>
                    </wps:wsp>
                  </a:graphicData>
                </a:graphic>
              </wp:anchor>
            </w:drawing>
          </mc:Choice>
          <mc:Fallback>
            <w:pict>
              <v:roundrect id="オブジェクト 0" style="mso-wrap-distance-right:5.65pt;mso-wrap-distance-bottom:0pt;margin-top:2.8pt;mso-position-vertical-relative:text;mso-position-horizontal-relative:text;v-text-anchor:middle;position:absolute;height:42pt;mso-wrap-distance-top:0pt;width:223pt;mso-wrap-distance-left:5.65pt;margin-left:235pt;z-index:9;" o:spid="_x0000_s1027" o:allowincell="t" o:allowoverlap="t" filled="t" fillcolor="#eeece1 [3214]" stroked="t" strokecolor="#000000 [3213]" strokeweight="0.75pt" o:spt="2" arcsize="10923f">
                <v:fill/>
                <v:stroke linestyle="single" endcap="flat" dashstyle="solid" filltype="solid"/>
                <v:textbox style="layout-flow:horizontal;">
                  <w:txbxContent>
                    <w:p>
                      <w:pPr>
                        <w:pStyle w:val="20"/>
                        <w:spacing w:line="240" w:lineRule="auto"/>
                        <w:rPr>
                          <w:rFonts w:hint="eastAsia" w:ascii="Century" w:hAnsi="Century" w:eastAsia="ＭＳ ゴシック"/>
                          <w:color w:val="000000" w:themeColor="text1"/>
                          <w:spacing w:val="-14"/>
                        </w:rPr>
                      </w:pPr>
                      <w:r>
                        <w:rPr>
                          <w:rFonts w:hint="eastAsia" w:eastAsia="ＭＳ ゴシック"/>
                          <w:color w:val="000000" w:themeColor="text1"/>
                          <w:spacing w:val="-14"/>
                        </w:rPr>
                        <w:t>自社排出分は、算入しないこと。</w:t>
                      </w:r>
                    </w:p>
                    <w:p>
                      <w:pPr>
                        <w:pStyle w:val="20"/>
                        <w:spacing w:line="240" w:lineRule="auto"/>
                        <w:rPr>
                          <w:rFonts w:hint="default" w:ascii="Century" w:hAnsi="Century" w:eastAsia="ＭＳ ゴシック"/>
                          <w:color w:val="000000" w:themeColor="text1"/>
                          <w:spacing w:val="-14"/>
                        </w:rPr>
                      </w:pPr>
                      <w:r>
                        <w:rPr>
                          <w:rFonts w:hint="eastAsia" w:ascii="Century" w:hAnsi="Century" w:eastAsia="ＭＳ ゴシック"/>
                          <w:color w:val="000000" w:themeColor="text1"/>
                          <w:spacing w:val="-14"/>
                        </w:rPr>
                        <w:t>移動式施設は、長野市内で作業分のみ記載すること。</w:t>
                      </w:r>
                    </w:p>
                    <w:p>
                      <w:pPr>
                        <w:pStyle w:val="0"/>
                        <w:jc w:val="center"/>
                        <w:rPr>
                          <w:rFonts w:hint="eastAsia"/>
                          <w:color w:val="auto"/>
                        </w:rPr>
                      </w:pPr>
                    </w:p>
                  </w:txbxContent>
                </v:textbox>
                <v:imagedata o:title=""/>
                <w10:wrap type="none" anchorx="text" anchory="text"/>
              </v:roundrect>
            </w:pict>
          </mc:Fallback>
        </mc:AlternateContent>
      </w:r>
      <w:r>
        <w:rPr>
          <w:rFonts w:hint="eastAsia"/>
        </w:rPr>
        <w:t>　　　　　　　　　　　　　　　　　　　　　　　　　　　　　　　　　　　　　　　　　　　　　　　　　　　　　　　　　　　　　　　　</w:t>
      </w:r>
      <w:r>
        <w:rPr>
          <w:rFonts w:hint="eastAsia"/>
          <w:i w:val="1"/>
        </w:rPr>
        <w:t>令和</w:t>
      </w:r>
      <w:r>
        <w:rPr>
          <w:rFonts w:hint="eastAsia" w:ascii="ＭＳ ゴシック" w:hAnsi="ＭＳ ゴシック" w:eastAsia="ＭＳ ゴシック"/>
          <w:i w:val="1"/>
        </w:rPr>
        <w:t>○○</w:t>
      </w:r>
      <w:r>
        <w:rPr>
          <w:rFonts w:hint="eastAsia"/>
        </w:rPr>
        <w:t>年</w:t>
      </w:r>
      <w:r>
        <w:rPr>
          <w:rFonts w:hint="eastAsia" w:ascii="ＭＳ ゴシック" w:hAnsi="ＭＳ ゴシック" w:eastAsia="ＭＳ ゴシック"/>
        </w:rPr>
        <w:t>　</w:t>
      </w:r>
      <w:r>
        <w:rPr>
          <w:rFonts w:hint="eastAsia" w:ascii="ＭＳ ゴシック" w:hAnsi="ＭＳ ゴシック" w:eastAsia="ＭＳ ゴシック"/>
          <w:i w:val="1"/>
        </w:rPr>
        <w:t>○</w:t>
      </w:r>
      <w:r>
        <w:rPr>
          <w:rFonts w:hint="eastAsia"/>
        </w:rPr>
        <w:t>月</w:t>
      </w:r>
      <w:r>
        <w:rPr>
          <w:rFonts w:hint="eastAsia"/>
          <w:i w:val="1"/>
        </w:rPr>
        <w:t>○○</w:t>
      </w:r>
      <w:r>
        <w:rPr>
          <w:rFonts w:hint="eastAsia"/>
        </w:rPr>
        <w:t>日</w:t>
      </w:r>
    </w:p>
    <w:p>
      <w:pPr>
        <w:pStyle w:val="0"/>
        <w:topLinePunct w:val="1"/>
        <w:autoSpaceDE w:val="0"/>
        <w:autoSpaceDN w:val="0"/>
        <w:ind w:right="36"/>
        <w:rPr>
          <w:rFonts w:hint="eastAsia"/>
        </w:rPr>
      </w:pPr>
      <w:r>
        <w:rPr>
          <w:rFonts w:hint="eastAsia"/>
        </w:rPr>
        <w:t>　　　（宛先）長野市長</w:t>
      </w:r>
    </w:p>
    <w:p>
      <w:pPr>
        <w:pStyle w:val="0"/>
        <w:tabs>
          <w:tab w:val="left" w:leader="none" w:pos="4368"/>
        </w:tabs>
        <w:autoSpaceDE w:val="0"/>
        <w:autoSpaceDN w:val="0"/>
        <w:spacing w:line="400" w:lineRule="exact"/>
        <w:rPr>
          <w:rFonts w:hint="eastAsia"/>
        </w:rPr>
      </w:pPr>
      <w:r>
        <w:rPr>
          <w:rFonts w:hint="eastAsia"/>
        </w:rPr>
        <w:t>　　　　　　　　　　　　　　　　　　　　　　　　　　　　　　　　　　　　　　　　　　　　　　　　住　所　　</w:t>
      </w:r>
      <w:r>
        <w:rPr>
          <w:rFonts w:hint="eastAsia" w:ascii="ＭＳ ゴシック" w:hAnsi="ＭＳ ゴシック" w:eastAsia="ＭＳ ゴシック"/>
          <w:b w:val="1"/>
          <w:i w:val="1"/>
        </w:rPr>
        <w:t>長野市大字○○１２３番地</w:t>
      </w:r>
    </w:p>
    <w:p>
      <w:pPr>
        <w:pStyle w:val="0"/>
        <w:tabs>
          <w:tab w:val="left" w:leader="none" w:pos="4368"/>
        </w:tabs>
        <w:autoSpaceDE w:val="0"/>
        <w:autoSpaceDN w:val="0"/>
        <w:spacing w:line="400" w:lineRule="exact"/>
        <w:rPr>
          <w:rFonts w:hint="default"/>
        </w:rPr>
      </w:pPr>
      <w:r>
        <w:rPr>
          <w:rFonts w:hint="eastAsia"/>
        </w:rPr>
        <mc:AlternateContent>
          <mc:Choice Requires="wps">
            <w:drawing>
              <wp:anchor simplePos="0" relativeHeight="5" behindDoc="0" locked="0" layoutInCell="1" hidden="0" allowOverlap="1">
                <wp:simplePos x="0" y="0"/>
                <wp:positionH relativeFrom="column">
                  <wp:posOffset>508000</wp:posOffset>
                </wp:positionH>
                <wp:positionV relativeFrom="paragraph">
                  <wp:posOffset>127000</wp:posOffset>
                </wp:positionV>
                <wp:extent cx="2133600" cy="520700"/>
                <wp:effectExtent l="635" t="635" r="29845" b="65595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133600" cy="520700"/>
                        </a:xfrm>
                        <a:prstGeom prst="wedgeRoundRectCallout">
                          <a:avLst>
                            <a:gd name="adj1" fmla="val 29852"/>
                            <a:gd name="adj2" fmla="val 173782"/>
                            <a:gd name="adj3" fmla="val 16667"/>
                          </a:avLst>
                        </a:prstGeom>
                        <a:solidFill>
                          <a:srgbClr val="EAEAEA"/>
                        </a:solidFill>
                        <a:ln w="9525">
                          <a:solidFill>
                            <a:sysClr val="windowText" lastClr="000000"/>
                          </a:solidFill>
                          <a:miter/>
                        </a:ln>
                      </wps:spPr>
                      <wps:txbx>
                        <w:txbxContent>
                          <w:p>
                            <w:pPr>
                              <w:pStyle w:val="20"/>
                              <w:spacing w:line="240" w:lineRule="auto"/>
                              <w:rPr>
                                <w:rFonts w:hint="default" w:ascii="Century" w:hAnsi="Century" w:eastAsia="ＭＳ ゴシック"/>
                                <w:spacing w:val="-14"/>
                              </w:rPr>
                            </w:pPr>
                            <w:r>
                              <w:rPr>
                                <w:rFonts w:hint="eastAsia" w:ascii="Century" w:hAnsi="Century" w:eastAsia="ＭＳ ゴシック"/>
                                <w:spacing w:val="-14"/>
                              </w:rPr>
                              <w:t>産廃、特管、中間処理、最終処分の別にそれぞれ作成すること。</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0pt;mso-position-vertical-relative:text;mso-position-horizontal-relative:text;position:absolute;height:41pt;width:168pt;margin-left:40pt;z-index:5;" o:spid="_x0000_s1028" o:allowincell="t" o:allowoverlap="t" filled="t" fillcolor="#eaeaea" stroked="t" strokecolor="#000000" strokeweight="0.75pt" o:spt="62" type="#_x0000_t62" adj="17248,48337">
                <v:fill/>
                <v:stroke filltype="solid"/>
                <v:textbox style="layout-flow:horizontal;">
                  <w:txbxContent>
                    <w:p>
                      <w:pPr>
                        <w:pStyle w:val="20"/>
                        <w:spacing w:line="240" w:lineRule="auto"/>
                        <w:rPr>
                          <w:rFonts w:hint="default" w:ascii="Century" w:hAnsi="Century" w:eastAsia="ＭＳ ゴシック"/>
                          <w:spacing w:val="-14"/>
                        </w:rPr>
                      </w:pPr>
                      <w:r>
                        <w:rPr>
                          <w:rFonts w:hint="eastAsia" w:ascii="Century" w:hAnsi="Century" w:eastAsia="ＭＳ ゴシック"/>
                          <w:spacing w:val="-14"/>
                        </w:rPr>
                        <w:t>産廃、特管、中間処理、最終処分の別にそれぞれ作成すること。</w:t>
                      </w:r>
                    </w:p>
                  </w:txbxContent>
                </v:textbox>
                <v:imagedata o:title=""/>
                <w10:wrap type="none" anchorx="text" anchory="text"/>
              </v:shape>
            </w:pict>
          </mc:Fallback>
        </mc:AlternateContent>
      </w:r>
      <w:r>
        <w:rPr>
          <w:rFonts w:hint="eastAsia"/>
        </w:rPr>
        <w:t>　　　　　　　　　　　　　　　　　　　　　　　　　　　　　　　　　　　　　　　　　　　　　　　　氏　名　　</w:t>
      </w:r>
      <w:r>
        <w:rPr>
          <w:rFonts w:hint="eastAsia" w:ascii="ＭＳ ゴシック" w:hAnsi="ＭＳ ゴシック" w:eastAsia="ＭＳ ゴシック"/>
          <w:b w:val="1"/>
          <w:i w:val="1"/>
        </w:rPr>
        <w:t>㈱ながの　代表取締役　×××</w:t>
      </w:r>
    </w:p>
    <w:p>
      <w:pPr>
        <w:pStyle w:val="0"/>
        <w:autoSpaceDE w:val="0"/>
        <w:autoSpaceDN w:val="0"/>
        <w:spacing w:line="400" w:lineRule="exact"/>
        <w:ind w:right="896"/>
        <w:rPr>
          <w:rFonts w:hint="default"/>
        </w:rPr>
      </w:pPr>
      <w:r>
        <w:rPr>
          <w:rFonts w:hint="eastAsia"/>
        </w:rPr>
        <mc:AlternateContent>
          <mc:Choice Requires="wps">
            <w:drawing>
              <wp:anchor simplePos="0" relativeHeight="6" behindDoc="0" locked="0" layoutInCell="1" hidden="0" allowOverlap="1">
                <wp:simplePos x="0" y="0"/>
                <wp:positionH relativeFrom="column">
                  <wp:posOffset>4000500</wp:posOffset>
                </wp:positionH>
                <wp:positionV relativeFrom="paragraph">
                  <wp:posOffset>63500</wp:posOffset>
                </wp:positionV>
                <wp:extent cx="1564640" cy="624840"/>
                <wp:effectExtent l="635" t="635" r="29845" b="153797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64640" cy="624840"/>
                        </a:xfrm>
                        <a:prstGeom prst="wedgeRoundRectCallout">
                          <a:avLst>
                            <a:gd name="adj1" fmla="val -21755"/>
                            <a:gd name="adj2" fmla="val 294106"/>
                            <a:gd name="adj3" fmla="val 16667"/>
                          </a:avLst>
                        </a:prstGeom>
                        <a:solidFill>
                          <a:srgbClr val="EAEAEA"/>
                        </a:solidFill>
                        <a:ln w="9525">
                          <a:solidFill>
                            <a:sysClr val="windowText" lastClr="000000"/>
                          </a:solidFill>
                          <a:miter/>
                        </a:ln>
                      </wps:spPr>
                      <wps:txbx>
                        <w:txbxContent>
                          <w:p>
                            <w:pPr>
                              <w:pStyle w:val="20"/>
                              <w:spacing w:line="240" w:lineRule="auto"/>
                              <w:rPr>
                                <w:rFonts w:hint="default" w:ascii="Century" w:hAnsi="Century" w:eastAsia="ＭＳ ゴシック"/>
                                <w:spacing w:val="-14"/>
                              </w:rPr>
                            </w:pPr>
                            <w:r>
                              <w:rPr>
                                <w:rFonts w:hint="eastAsia" w:ascii="Century" w:hAnsi="Century" w:eastAsia="ＭＳ ゴシック"/>
                                <w:spacing w:val="-14"/>
                              </w:rPr>
                              <w:t>処分場所は実際に作業した場所を記載する。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5pt;mso-position-vertical-relative:text;mso-position-horizontal-relative:text;position:absolute;height:49.2pt;width:123.2pt;margin-left:315pt;z-index:6;" o:spid="_x0000_s1029" o:allowincell="t" o:allowoverlap="t" filled="t" fillcolor="#eaeaea" stroked="t" strokecolor="#000000" strokeweight="0.75pt" o:spt="62" type="#_x0000_t62" adj="6101,74327">
                <v:fill/>
                <v:stroke filltype="solid"/>
                <v:textbox style="layout-flow:horizontal;">
                  <w:txbxContent>
                    <w:p>
                      <w:pPr>
                        <w:pStyle w:val="20"/>
                        <w:spacing w:line="240" w:lineRule="auto"/>
                        <w:rPr>
                          <w:rFonts w:hint="default" w:ascii="Century" w:hAnsi="Century" w:eastAsia="ＭＳ ゴシック"/>
                          <w:spacing w:val="-14"/>
                        </w:rPr>
                      </w:pPr>
                      <w:r>
                        <w:rPr>
                          <w:rFonts w:hint="eastAsia" w:ascii="Century" w:hAnsi="Century" w:eastAsia="ＭＳ ゴシック"/>
                          <w:spacing w:val="-14"/>
                        </w:rPr>
                        <w:t>処分場所は実際に作業した場所を記載する。</w:t>
                      </w:r>
                    </w:p>
                  </w:txbxContent>
                </v:textbox>
                <v:imagedata o:title=""/>
                <w10:wrap type="none" anchorx="text" anchory="text"/>
              </v:shape>
            </w:pict>
          </mc:Fallback>
        </mc:AlternateContent>
      </w:r>
      <w:r>
        <w:rPr>
          <w:rFonts w:hint="eastAsia"/>
        </w:rPr>
        <w:t>　　　　　　　　　　　　　　　　　　　　　　　　　　　　　　　　　　　　　　　　　　　　　　　　連絡先（電話）　　</w:t>
      </w:r>
      <w:r>
        <w:rPr>
          <w:rFonts w:hint="eastAsia" w:ascii="ＭＳ ゴシック" w:hAnsi="ＭＳ ゴシック" w:eastAsia="ＭＳ ゴシック"/>
          <w:b w:val="1"/>
          <w:i w:val="1"/>
        </w:rPr>
        <w:t>０２６－×××－××××</w:t>
      </w:r>
    </w:p>
    <w:p>
      <w:pPr>
        <w:pStyle w:val="0"/>
        <w:autoSpaceDE w:val="0"/>
        <w:autoSpaceDN w:val="0"/>
        <w:jc w:val="left"/>
        <w:rPr>
          <w:rFonts w:hint="eastAsia"/>
        </w:rPr>
      </w:pPr>
      <w:r>
        <w:rPr>
          <w:rFonts w:hint="eastAsia"/>
        </w:rPr>
        <mc:AlternateContent>
          <mc:Choice Requires="wps">
            <w:drawing>
              <wp:anchor simplePos="0" relativeHeight="2" behindDoc="0" locked="0" layoutInCell="1" hidden="0" allowOverlap="1">
                <wp:simplePos x="0" y="0"/>
                <wp:positionH relativeFrom="column">
                  <wp:posOffset>6540500</wp:posOffset>
                </wp:positionH>
                <wp:positionV relativeFrom="paragraph">
                  <wp:posOffset>0</wp:posOffset>
                </wp:positionV>
                <wp:extent cx="2413000" cy="37719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413000" cy="377190"/>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pt;mso-position-vertical-relative:text;mso-position-horizontal-relative:text;position:absolute;height:29.7pt;width:190pt;margin-left:515pt;z-index:2;" o:spid="_x0000_s1030"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rPr>
        <w:t>　　　　　　　　　　　　　　　　　　　　　　　　　　　　　　　　　　　　　　　　　　　　　　　　　　　　</w:t>
      </w:r>
      <w:r>
        <w:rPr>
          <w:rFonts w:hint="eastAsia"/>
        </w:rPr>
        <w:t xml:space="preserve"> </w:t>
      </w:r>
      <w:r>
        <w:rPr>
          <w:rFonts w:hint="eastAsia"/>
          <w:spacing w:val="7"/>
          <w:kern w:val="0"/>
          <w:fitText w:val="3360" w:id="1"/>
        </w:rPr>
        <w:t>法人にあっては、主たる事務所の</w:t>
      </w:r>
    </w:p>
    <w:p>
      <w:pPr>
        <w:pStyle w:val="0"/>
        <w:topLinePunct w:val="1"/>
        <w:autoSpaceDE w:val="0"/>
        <w:autoSpaceDN w:val="0"/>
        <w:ind w:right="36"/>
        <w:rPr>
          <w:rFonts w:hint="eastAsia"/>
        </w:rPr>
      </w:pPr>
      <w:r>
        <w:rPr>
          <w:rFonts w:hint="eastAsia"/>
        </w:rPr>
        <w:t>　　　　　　　　　　　　　　　　　　　　　　　　　　　　　　　　　　　　　　　　　　　　　　　　　　　　</w:t>
      </w:r>
      <w:r>
        <w:rPr>
          <w:rFonts w:hint="eastAsia"/>
        </w:rPr>
        <w:t xml:space="preserve"> </w:t>
      </w:r>
      <w:r>
        <w:rPr>
          <w:rFonts w:hint="eastAsia"/>
          <w:spacing w:val="16"/>
          <w:kern w:val="0"/>
          <w:fitText w:val="3360" w:id="2"/>
        </w:rPr>
        <w:t>所在地、名称及び代表者の氏</w:t>
      </w:r>
      <w:r>
        <w:rPr>
          <w:rFonts w:hint="eastAsia"/>
          <w:spacing w:val="2"/>
          <w:kern w:val="0"/>
          <w:fitText w:val="3360" w:id="2"/>
        </w:rPr>
        <w:t>名</w:t>
      </w:r>
    </w:p>
    <w:p>
      <w:pPr>
        <w:pStyle w:val="0"/>
        <w:autoSpaceDE w:val="0"/>
        <w:autoSpaceDN w:val="0"/>
        <w:jc w:val="left"/>
        <w:rPr>
          <w:rFonts w:hint="eastAsia"/>
        </w:rPr>
      </w:pPr>
    </w:p>
    <w:p>
      <w:pPr>
        <w:pStyle w:val="0"/>
        <w:autoSpaceDE w:val="0"/>
        <w:autoSpaceDN w:val="0"/>
        <w:jc w:val="left"/>
        <w:rPr>
          <w:rFonts w:hint="eastAsia"/>
        </w:rPr>
      </w:pPr>
      <w:r>
        <w:rPr>
          <w:rFonts w:hint="eastAsia"/>
        </w:rPr>
        <w:t>　</w:t>
      </w:r>
      <w:r>
        <w:rPr>
          <w:rFonts w:hint="eastAsia"/>
          <w:i w:val="1"/>
        </w:rPr>
        <w:t>令和○○</w:t>
      </w:r>
      <w:r>
        <w:rPr>
          <w:rFonts w:hint="eastAsia"/>
        </w:rPr>
        <w:t>年度の</w:t>
      </w:r>
      <w:r>
        <w:rPr>
          <w:rFonts w:hint="eastAsia"/>
          <w:dstrike w:val="1"/>
        </w:rPr>
        <w:t>（特別管理）</w:t>
      </w:r>
      <w:r>
        <w:rPr>
          <w:rFonts w:hint="eastAsia"/>
        </w:rPr>
        <w:t>産業廃棄物の処分実績について、長野市廃棄物の適正な処理の確保に関する条例第</w:t>
      </w:r>
      <w:r>
        <w:rPr>
          <w:rFonts w:hint="eastAsia"/>
        </w:rPr>
        <w:t>78</w:t>
      </w:r>
      <w:r>
        <w:rPr>
          <w:rFonts w:hint="eastAsia"/>
        </w:rPr>
        <w:t>条第１項の規定により報告します。</w:t>
      </w:r>
    </w:p>
    <w:tbl>
      <w:tblPr>
        <w:tblStyle w:val="11"/>
        <w:tblW w:w="150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00"/>
        <w:gridCol w:w="1300"/>
        <w:gridCol w:w="1900"/>
        <w:gridCol w:w="1100"/>
        <w:gridCol w:w="1300"/>
        <w:gridCol w:w="1154"/>
        <w:gridCol w:w="1400"/>
        <w:gridCol w:w="1198"/>
        <w:gridCol w:w="48"/>
        <w:gridCol w:w="1800"/>
        <w:gridCol w:w="1198"/>
        <w:gridCol w:w="997"/>
      </w:tblGrid>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許可の種類</w:t>
            </w:r>
          </w:p>
        </w:tc>
        <w:tc>
          <w:tcPr>
            <w:tcW w:w="4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eastAsia="ＭＳ ゴシック"/>
                <w:b w:val="1"/>
                <w:i w:val="1"/>
              </w:rPr>
              <w:t>産業廃棄物処分業（中間処理）</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許可年月日</w:t>
            </w:r>
          </w:p>
        </w:tc>
        <w:tc>
          <w:tcPr>
            <w:tcW w:w="25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平成</w:t>
            </w:r>
            <w:r>
              <w:rPr>
                <w:rFonts w:hint="eastAsia" w:eastAsia="ＭＳ ゴシック"/>
                <w:b w:val="1"/>
                <w:i w:val="1"/>
              </w:rPr>
              <w:t>１８</w:t>
            </w:r>
            <w:r>
              <w:rPr>
                <w:rFonts w:hint="eastAsia"/>
              </w:rPr>
              <w:t>年</w:t>
            </w:r>
            <w:r>
              <w:rPr>
                <w:rFonts w:hint="eastAsia" w:eastAsia="ＭＳ ゴシック"/>
                <w:b w:val="1"/>
                <w:i w:val="1"/>
              </w:rPr>
              <w:t>××</w:t>
            </w:r>
            <w:r>
              <w:rPr>
                <w:rFonts w:hint="eastAsia"/>
              </w:rPr>
              <w:t>月</w:t>
            </w:r>
            <w:r>
              <w:rPr>
                <w:rFonts w:hint="eastAsia" w:eastAsia="ＭＳ ゴシック"/>
                <w:b w:val="1"/>
                <w:i w:val="1"/>
              </w:rPr>
              <w:t>××</w:t>
            </w:r>
            <w:r>
              <w:rPr>
                <w:rFonts w:hint="eastAsia"/>
              </w:rPr>
              <w:t>日</w:t>
            </w:r>
          </w:p>
        </w:tc>
        <w:tc>
          <w:tcPr>
            <w:tcW w:w="11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40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eastAsia="ＭＳ ゴシック"/>
                <w:b w:val="1"/>
                <w:i w:val="1"/>
              </w:rPr>
              <w:t>９５２１‐××××××</w:t>
            </w: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topLinePunct w:val="1"/>
              <w:autoSpaceDE w:val="0"/>
              <w:autoSpaceDN w:val="0"/>
              <w:jc w:val="center"/>
              <w:rPr>
                <w:rFonts w:hint="eastAsia"/>
                <w:sz w:val="12"/>
              </w:rPr>
            </w:pPr>
          </w:p>
          <w:p>
            <w:pPr>
              <w:pStyle w:val="0"/>
              <w:topLinePunct w:val="1"/>
              <w:autoSpaceDE w:val="0"/>
              <w:autoSpaceDN w:val="0"/>
              <w:jc w:val="center"/>
              <w:rPr>
                <w:rFonts w:hint="eastAsia"/>
              </w:rPr>
            </w:pPr>
            <w:r>
              <w:rPr>
                <w:rFonts w:hint="eastAsia"/>
              </w:rPr>
              <w:t>産業廃棄物・</w:t>
            </w:r>
          </w:p>
          <w:p>
            <w:pPr>
              <w:pStyle w:val="0"/>
              <w:topLinePunct w:val="1"/>
              <w:autoSpaceDE w:val="0"/>
              <w:autoSpaceDN w:val="0"/>
              <w:jc w:val="center"/>
              <w:rPr>
                <w:rFonts w:hint="eastAsia"/>
              </w:rPr>
            </w:pPr>
            <w:r>
              <w:rPr>
                <w:rFonts w:hint="eastAsia"/>
              </w:rPr>
              <mc:AlternateContent>
                <mc:Choice Requires="wps">
                  <w:drawing>
                    <wp:anchor simplePos="0" relativeHeight="3" behindDoc="0" locked="0" layoutInCell="1" hidden="0" allowOverlap="1">
                      <wp:simplePos x="0" y="0"/>
                      <wp:positionH relativeFrom="column">
                        <wp:posOffset>-655320</wp:posOffset>
                      </wp:positionH>
                      <wp:positionV relativeFrom="paragraph">
                        <wp:posOffset>367665</wp:posOffset>
                      </wp:positionV>
                      <wp:extent cx="440055" cy="41402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440055" cy="414020"/>
                              </a:xfrm>
                              <a:prstGeom prst="rect">
                                <a:avLst/>
                              </a:prstGeom>
                              <a:solidFill>
                                <a:srgbClr val="FFFFFF"/>
                              </a:solidFill>
                              <a:ln>
                                <a:miter/>
                              </a:ln>
                            </wps:spPr>
                            <wps:txbx>
                              <w:txbxContent>
                                <w:p>
                                  <w:pPr>
                                    <w:pStyle w:val="0"/>
                                    <w:rPr>
                                      <w:rFonts w:hint="default"/>
                                    </w:rPr>
                                  </w:pPr>
                                  <w:r>
                                    <w:rPr>
                                      <w:rFonts w:hint="eastAsia"/>
                                    </w:rPr>
                                    <w:t>77</w:t>
                                  </w:r>
                                </w:p>
                              </w:txbxContent>
                            </wps:txbx>
                            <wps:bodyPr vertOverflow="overflow" horzOverflow="overflow" vert="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95pt;mso-position-vertical-relative:text;mso-position-horizontal-relative:text;position:absolute;height:32.6pt;width:34.65pt;margin-left:-51.6pt;z-index:3;" o:spid="_x0000_s1031" o:allowincell="t" o:allowoverlap="t" filled="t" fillcolor="#ffffff" stroked="f" o:spt="202" type="#_x0000_t202">
                      <v:fill/>
                      <v:textbox style="layout-flow:vertical;" inset="2.0637499999999998mm,0.24694444444444438mm,2.0637499999999998mm,0.24694444444444438mm">
                        <w:txbxContent>
                          <w:p>
                            <w:pPr>
                              <w:pStyle w:val="0"/>
                              <w:rPr>
                                <w:rFonts w:hint="default"/>
                              </w:rPr>
                            </w:pPr>
                            <w:r>
                              <w:rPr>
                                <w:rFonts w:hint="eastAsia"/>
                              </w:rPr>
                              <w:t>77</w:t>
                            </w:r>
                          </w:p>
                        </w:txbxContent>
                      </v:textbox>
                      <v:imagedata o:title=""/>
                      <w10:wrap type="none" anchorx="text" anchory="text"/>
                    </v:shape>
                  </w:pict>
                </mc:Fallback>
              </mc:AlternateContent>
            </w:r>
            <w:r>
              <w:rPr>
                <w:rFonts w:hint="eastAsia"/>
              </w:rPr>
              <w:t>特別管理産業</w:t>
            </w:r>
          </w:p>
          <w:p>
            <w:pPr>
              <w:pStyle w:val="0"/>
              <w:topLinePunct w:val="1"/>
              <w:autoSpaceDE w:val="0"/>
              <w:autoSpaceDN w:val="0"/>
              <w:jc w:val="center"/>
              <w:rPr>
                <w:rFonts w:hint="eastAsia"/>
              </w:rPr>
            </w:pPr>
            <w:r>
              <w:rPr>
                <w:rFonts w:hint="eastAsia"/>
              </w:rPr>
              <w:t>廃棄物の種類</w:t>
            </w:r>
          </w:p>
        </w:tc>
        <w:tc>
          <w:tcPr>
            <w:tcW w:w="4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委託者（排出事業者又は処分業者）</w:t>
            </w: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処分内容</w:t>
            </w:r>
          </w:p>
        </w:tc>
        <w:tc>
          <w:tcPr>
            <w:tcW w:w="524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処分の委託先</w:t>
            </w:r>
          </w:p>
        </w:tc>
      </w:tr>
      <w:tr>
        <w:trPr>
          <w:trHeight w:val="526" w:hRule="atLeast"/>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受託量（ｔ）</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処分方法</w:t>
            </w: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処分量</w:t>
            </w:r>
          </w:p>
          <w:p>
            <w:pPr>
              <w:pStyle w:val="0"/>
              <w:topLinePunct w:val="1"/>
              <w:autoSpaceDE w:val="0"/>
              <w:autoSpaceDN w:val="0"/>
              <w:jc w:val="center"/>
              <w:rPr>
                <w:rFonts w:hint="eastAsia"/>
              </w:rPr>
            </w:pPr>
            <w:r>
              <w:rPr>
                <w:rFonts w:hint="eastAsia"/>
              </w:rPr>
              <w:t>（ｔ）</w:t>
            </w: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処分後量</w:t>
            </w:r>
          </w:p>
          <w:p>
            <w:pPr>
              <w:pStyle w:val="0"/>
              <w:topLinePunct w:val="1"/>
              <w:autoSpaceDE w:val="0"/>
              <w:autoSpaceDN w:val="0"/>
              <w:jc w:val="center"/>
              <w:rPr>
                <w:rFonts w:hint="eastAsia"/>
              </w:rPr>
            </w:pPr>
            <w:r>
              <w:rPr>
                <w:rFonts w:hint="eastAsia"/>
              </w:rPr>
              <w:t>（ｔ）</w:t>
            </w:r>
          </w:p>
        </w:tc>
        <w:tc>
          <w:tcPr>
            <w:tcW w:w="11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8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11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委託先の</w:t>
            </w:r>
          </w:p>
          <w:p>
            <w:pPr>
              <w:pStyle w:val="0"/>
              <w:topLinePunct w:val="1"/>
              <w:autoSpaceDE w:val="0"/>
              <w:autoSpaceDN w:val="0"/>
              <w:jc w:val="center"/>
              <w:rPr>
                <w:rFonts w:hint="eastAsia"/>
              </w:rPr>
            </w:pPr>
            <w:r>
              <w:rPr>
                <w:rFonts w:hint="eastAsia"/>
              </w:rPr>
              <w:t>処分方法</w:t>
            </w:r>
          </w:p>
        </w:tc>
        <w:tc>
          <w:tcPr>
            <w:tcW w:w="9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委託量</w:t>
            </w:r>
          </w:p>
          <w:p>
            <w:pPr>
              <w:pStyle w:val="0"/>
              <w:topLinePunct w:val="1"/>
              <w:autoSpaceDE w:val="0"/>
              <w:autoSpaceDN w:val="0"/>
              <w:jc w:val="center"/>
              <w:rPr>
                <w:rFonts w:hint="eastAsia"/>
              </w:rPr>
            </w:pPr>
            <w:r>
              <w:rPr>
                <w:rFonts w:hint="eastAsia"/>
              </w:rPr>
              <w:t>（ｔ）</w:t>
            </w: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排出された場所</w:t>
            </w: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処分場所</w:t>
            </w:r>
          </w:p>
        </w:tc>
        <w:tc>
          <w:tcPr>
            <w:tcW w:w="304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処分を委託した場所</w:t>
            </w:r>
          </w:p>
        </w:tc>
        <w:tc>
          <w:tcPr>
            <w:tcW w:w="11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9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有機汚泥</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ascii="ＭＳ ゴシック" w:hAnsi="ＭＳ ゴシック" w:eastAsia="ＭＳ ゴシック"/>
                <w:b w:val="1"/>
                <w:i w:val="1"/>
              </w:rPr>
              <w:t>△△食堂</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１２ｔ</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脱水</w:t>
            </w: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１２ｔ</w:t>
            </w: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３ｔ</w:t>
            </w:r>
          </w:p>
        </w:tc>
        <w:tc>
          <w:tcPr>
            <w:tcW w:w="11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92" w:lineRule="auto"/>
              <w:ind w:left="-98" w:leftChars="-49" w:right="-86" w:rightChars="-43"/>
              <w:jc w:val="center"/>
              <w:rPr>
                <w:rFonts w:hint="eastAsia" w:ascii="ＭＳ ゴシック" w:hAnsi="ＭＳ ゴシック" w:eastAsia="ＭＳ ゴシック"/>
                <w:b w:val="1"/>
                <w:i w:val="1"/>
                <w:spacing w:val="-14"/>
                <w:sz w:val="16"/>
              </w:rPr>
            </w:pPr>
            <w:r>
              <w:rPr>
                <w:rFonts w:hint="eastAsia" w:ascii="ＭＳ ゴシック" w:hAnsi="ＭＳ ゴシック" w:eastAsia="ＭＳ ゴシック"/>
                <w:b w:val="1"/>
                <w:i w:val="1"/>
                <w:spacing w:val="-14"/>
                <w:sz w:val="12"/>
              </w:rPr>
              <w:t>２０２６－××××××</w:t>
            </w:r>
          </w:p>
        </w:tc>
        <w:tc>
          <w:tcPr>
            <w:tcW w:w="18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㈱△△有機</w:t>
            </w:r>
          </w:p>
        </w:tc>
        <w:tc>
          <w:tcPr>
            <w:tcW w:w="11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堆肥化</w:t>
            </w:r>
          </w:p>
          <w:p>
            <w:pPr>
              <w:pStyle w:val="0"/>
              <w:topLinePunct w:val="1"/>
              <w:autoSpaceDE w:val="0"/>
              <w:autoSpaceDN w:val="0"/>
              <w:jc w:val="center"/>
              <w:rPr>
                <w:rFonts w:hint="eastAsia"/>
              </w:rPr>
            </w:pPr>
            <w:r>
              <w:rPr>
                <w:rFonts w:hint="eastAsia" w:ascii="ＭＳ ゴシック" w:hAnsi="ＭＳ ゴシック" w:eastAsia="ＭＳ ゴシック"/>
                <w:b w:val="1"/>
                <w:i w:val="1"/>
              </w:rPr>
              <w:t>残</w:t>
            </w:r>
          </w:p>
        </w:tc>
        <w:tc>
          <w:tcPr>
            <w:tcW w:w="9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ascii="ＭＳ ゴシック" w:hAnsi="ＭＳ ゴシック" w:eastAsia="ＭＳ ゴシック"/>
                <w:b w:val="1"/>
                <w:i w:val="1"/>
              </w:rPr>
              <w:t>３ｔ</w:t>
            </w: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ascii="ＭＳ ゴシック" w:hAnsi="ＭＳ ゴシック" w:eastAsia="ＭＳ ゴシック"/>
                <w:b w:val="1"/>
                <w:i w:val="1"/>
              </w:rPr>
              <w:t>長野市△△</w:t>
            </w: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b w:val="1"/>
                <w:i w:val="1"/>
              </w:rPr>
            </w:pPr>
            <w:r>
              <w:rPr>
                <w:rFonts w:hint="eastAsia" w:ascii="ＭＳ ゴシック" w:hAnsi="ＭＳ ゴシック" w:eastAsia="ＭＳ ゴシック"/>
                <w:b w:val="1"/>
                <w:i w:val="1"/>
              </w:rPr>
              <w:t>長野市△△△</w:t>
            </w:r>
          </w:p>
        </w:tc>
        <w:tc>
          <w:tcPr>
            <w:tcW w:w="304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ascii="ＭＳ ゴシック" w:hAnsi="ＭＳ ゴシック" w:eastAsia="ＭＳ ゴシック"/>
                <w:b w:val="1"/>
                <w:i w:val="1"/>
              </w:rPr>
              <w:t>△△村△△</w:t>
            </w:r>
          </w:p>
        </w:tc>
        <w:tc>
          <w:tcPr>
            <w:tcW w:w="11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9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木くず</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sz w:val="12"/>
              </w:rPr>
            </w:pPr>
            <w:r>
              <w:rPr>
                <w:rFonts w:hint="eastAsia" w:ascii="ＭＳ ゴシック" w:hAnsi="ＭＳ ゴシック" w:eastAsia="ＭＳ ゴシック"/>
                <w:b w:val="1"/>
                <w:i w:val="1"/>
                <w:spacing w:val="-14"/>
                <w:sz w:val="12"/>
              </w:rPr>
              <w:t>２０２８－××××××</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ascii="ＭＳ ゴシック" w:hAnsi="ＭＳ ゴシック" w:eastAsia="ＭＳ ゴシック"/>
                <w:b w:val="1"/>
                <w:i w:val="1"/>
              </w:rPr>
              <w:t>○○建材</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５００ｔ</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破砕</w:t>
            </w: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５００</w:t>
            </w:r>
            <w:r>
              <w:rPr>
                <w:rFonts w:hint="eastAsia" w:ascii="ＭＳ ゴシック" w:hAnsi="ＭＳ ゴシック" w:eastAsia="ＭＳ ゴシック"/>
                <w:b w:val="1"/>
                <w:i w:val="1"/>
                <w:spacing w:val="-24"/>
              </w:rPr>
              <w:t>ｔ</w:t>
            </w: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i w:val="1"/>
              </w:rPr>
            </w:pPr>
            <w:r>
              <w:rPr>
                <w:rFonts w:hint="eastAsia" w:ascii="ＭＳ ゴシック" w:hAnsi="ＭＳ ゴシック" w:eastAsia="ＭＳ ゴシック"/>
                <w:b w:val="1"/>
                <w:i w:val="1"/>
              </w:rPr>
              <w:t>５００ｔ</w:t>
            </w:r>
          </w:p>
        </w:tc>
        <w:tc>
          <w:tcPr>
            <w:tcW w:w="12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ascii="ＭＳ ゴシック" w:hAnsi="ＭＳ ゴシック" w:eastAsia="ＭＳ ゴシック"/>
                <w:b w:val="1"/>
                <w:i w:val="1"/>
              </w:rPr>
              <w:t>有価販売</w:t>
            </w:r>
          </w:p>
        </w:tc>
        <w:tc>
          <w:tcPr>
            <w:tcW w:w="9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ascii="ＭＳ ゴシック" w:hAnsi="ＭＳ ゴシック" w:eastAsia="ＭＳ ゴシック"/>
                <w:b w:val="1"/>
                <w:i w:val="1"/>
              </w:rPr>
              <w:t>長野市○○</w:t>
            </w: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b w:val="1"/>
                <w:i w:val="1"/>
              </w:rPr>
            </w:pPr>
            <w:r>
              <w:rPr>
                <w:rFonts w:hint="eastAsia" w:ascii="ＭＳ ゴシック" w:hAnsi="ＭＳ ゴシック" w:eastAsia="ＭＳ ゴシック"/>
                <w:b w:val="1"/>
                <w:i w:val="1"/>
              </w:rPr>
              <w:t>長野市○○</w:t>
            </w:r>
          </w:p>
        </w:tc>
        <w:tc>
          <w:tcPr>
            <w:tcW w:w="304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9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廃プラ</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ascii="ＭＳ ゴシック" w:hAnsi="ＭＳ ゴシック" w:eastAsia="ＭＳ ゴシック"/>
                <w:b w:val="1"/>
                <w:i w:val="1"/>
              </w:rPr>
              <w:t>××建設</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３００ｔ</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焼却</w:t>
            </w: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３００ｔ</w:t>
            </w: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２５ｔ</w:t>
            </w:r>
          </w:p>
        </w:tc>
        <w:tc>
          <w:tcPr>
            <w:tcW w:w="12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92" w:lineRule="auto"/>
              <w:ind w:left="-98" w:leftChars="-49" w:right="-86" w:rightChars="-43"/>
              <w:jc w:val="center"/>
              <w:rPr>
                <w:rFonts w:hint="eastAsia" w:ascii="ＭＳ ゴシック" w:hAnsi="ＭＳ ゴシック" w:eastAsia="ＭＳ ゴシック"/>
                <w:b w:val="1"/>
                <w:i w:val="1"/>
                <w:spacing w:val="-14"/>
                <w:sz w:val="16"/>
              </w:rPr>
            </w:pPr>
            <w:r>
              <w:rPr>
                <w:rFonts w:hint="eastAsia" w:ascii="ＭＳ ゴシック" w:hAnsi="ＭＳ ゴシック" w:eastAsia="ＭＳ ゴシック"/>
                <w:b w:val="1"/>
                <w:i w:val="1"/>
                <w:spacing w:val="-14"/>
                <w:sz w:val="12"/>
              </w:rPr>
              <w:t>２０４６－××××××</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××産業</w:t>
            </w:r>
          </w:p>
        </w:tc>
        <w:tc>
          <w:tcPr>
            <w:tcW w:w="11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ゴシック" w:hAnsi="ＭＳ ゴシック" w:eastAsia="ＭＳ ゴシック"/>
                <w:b w:val="1"/>
                <w:i w:val="1"/>
                <w:sz w:val="16"/>
              </w:rPr>
            </w:pPr>
            <w:r>
              <w:rPr>
                <w:rFonts w:hint="eastAsia" w:ascii="ＭＳ ゴシック" w:hAnsi="ＭＳ ゴシック" w:eastAsia="ＭＳ ゴシック"/>
                <w:b w:val="1"/>
                <w:i w:val="1"/>
                <w:sz w:val="16"/>
              </w:rPr>
              <w:t>管理型埋立</w:t>
            </w:r>
          </w:p>
          <w:p>
            <w:pPr>
              <w:pStyle w:val="0"/>
              <w:topLinePunct w:val="1"/>
              <w:autoSpaceDE w:val="0"/>
              <w:autoSpaceDN w:val="0"/>
              <w:jc w:val="center"/>
              <w:rPr>
                <w:rFonts w:hint="eastAsia"/>
              </w:rPr>
            </w:pPr>
            <w:r>
              <w:rPr>
                <w:rFonts w:hint="eastAsia" w:ascii="ＭＳ ゴシック" w:hAnsi="ＭＳ ゴシック" w:eastAsia="ＭＳ ゴシック"/>
                <w:b w:val="1"/>
                <w:i w:val="1"/>
              </w:rPr>
              <w:t>残</w:t>
            </w:r>
          </w:p>
        </w:tc>
        <w:tc>
          <w:tcPr>
            <w:tcW w:w="9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ascii="ＭＳ ゴシック" w:hAnsi="ＭＳ ゴシック" w:eastAsia="ＭＳ ゴシック"/>
                <w:b w:val="1"/>
                <w:i w:val="1"/>
              </w:rPr>
              <w:t>２５ｔ</w:t>
            </w: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ascii="ＭＳ ゴシック" w:hAnsi="ＭＳ ゴシック" w:eastAsia="ＭＳ ゴシック"/>
                <w:b w:val="1"/>
                <w:i w:val="1"/>
              </w:rPr>
              <w:t>長野市××</w:t>
            </w: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b w:val="1"/>
                <w:i w:val="1"/>
              </w:rPr>
            </w:pPr>
            <w:r>
              <w:rPr>
                <w:rFonts w:hint="eastAsia" w:ascii="ＭＳ ゴシック" w:hAnsi="ＭＳ ゴシック" w:eastAsia="ＭＳ ゴシック"/>
                <w:b w:val="1"/>
                <w:i w:val="1"/>
              </w:rPr>
              <w:t>長野市××</w:t>
            </w:r>
          </w:p>
        </w:tc>
        <w:tc>
          <w:tcPr>
            <w:tcW w:w="304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ascii="ＭＳ ゴシック" w:hAnsi="ＭＳ ゴシック" w:eastAsia="ＭＳ ゴシック"/>
                <w:b w:val="1"/>
                <w:i w:val="1"/>
              </w:rPr>
              <w:t>××県××市××</w:t>
            </w:r>
          </w:p>
        </w:tc>
        <w:tc>
          <w:tcPr>
            <w:tcW w:w="11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9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r>
              <w:rPr>
                <w:rFonts w:hint="eastAsia"/>
              </w:rPr>
              <mc:AlternateContent>
                <mc:Choice Requires="wps">
                  <w:drawing>
                    <wp:anchor simplePos="0" relativeHeight="8" behindDoc="0" locked="0" layoutInCell="1" hidden="0" allowOverlap="1">
                      <wp:simplePos x="0" y="0"/>
                      <wp:positionH relativeFrom="column">
                        <wp:posOffset>317500</wp:posOffset>
                      </wp:positionH>
                      <wp:positionV relativeFrom="paragraph">
                        <wp:posOffset>121285</wp:posOffset>
                      </wp:positionV>
                      <wp:extent cx="2091690" cy="652145"/>
                      <wp:effectExtent l="127000" t="32702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091690" cy="652145"/>
                              </a:xfrm>
                              <a:prstGeom prst="wedgeEllipseCallout">
                                <a:avLst>
                                  <a:gd name="adj1" fmla="val -55971"/>
                                  <a:gd name="adj2" fmla="val -99973"/>
                                </a:avLst>
                              </a:prstGeom>
                              <a:solidFill>
                                <a:srgbClr val="EAEAEA"/>
                              </a:solidFill>
                              <a:ln w="9525">
                                <a:solidFill>
                                  <a:sysClr val="windowText" lastClr="000000"/>
                                </a:solidFill>
                                <a:miter/>
                              </a:ln>
                            </wps:spPr>
                            <wps:txbx>
                              <w:txbxContent>
                                <w:p>
                                  <w:pPr>
                                    <w:pStyle w:val="0"/>
                                    <w:rPr>
                                      <w:rFonts w:hint="default"/>
                                      <w:sz w:val="20"/>
                                    </w:rPr>
                                  </w:pPr>
                                  <w:r>
                                    <w:rPr>
                                      <w:rFonts w:hint="eastAsia" w:eastAsia="ＭＳ ゴシック"/>
                                      <w:spacing w:val="-14"/>
                                      <w:sz w:val="20"/>
                                    </w:rPr>
                                    <w:t>処分後の残さの委託先、処分内容を記入する。</w:t>
                                  </w:r>
                                </w:p>
                              </w:txbxContent>
                            </wps:txbx>
                            <wps:bodyPr vertOverflow="overflow" horzOverflow="overflow" wrap="square"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argin-top:9.5500000000000007pt;mso-position-vertical-relative:text;mso-position-horizontal-relative:text;position:absolute;height:51.35pt;width:164.7pt;margin-left:25pt;z-index:8;" o:spid="_x0000_s1032" o:allowincell="t" o:allowoverlap="t" filled="t" fillcolor="#eaeaea" stroked="t" strokecolor="#000000" strokeweight="0.75pt" o:spt="63" type="#_x0000_t63" adj="-1290,-10794">
                      <v:fill/>
                      <v:stroke filltype="solid"/>
                      <v:textbox style="layout-flow:horizontal;">
                        <w:txbxContent>
                          <w:p>
                            <w:pPr>
                              <w:pStyle w:val="0"/>
                              <w:rPr>
                                <w:rFonts w:hint="default"/>
                                <w:sz w:val="20"/>
                              </w:rPr>
                            </w:pPr>
                            <w:r>
                              <w:rPr>
                                <w:rFonts w:hint="eastAsia" w:eastAsia="ＭＳ ゴシック"/>
                                <w:spacing w:val="-14"/>
                                <w:sz w:val="20"/>
                              </w:rPr>
                              <w:t>処分後の残さの委託先、処分内容を記入する。</w:t>
                            </w:r>
                          </w:p>
                        </w:txbxContent>
                      </v:textbox>
                      <v:imagedata o:title=""/>
                      <w10:wrap type="none" anchorx="text" anchory="text"/>
                    </v:shape>
                  </w:pict>
                </mc:Fallback>
              </mc:AlternateContent>
            </w:r>
          </w:p>
        </w:tc>
        <w:tc>
          <w:tcPr>
            <w:tcW w:w="11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9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04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9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bl>
    <w:p>
      <w:pPr>
        <w:pStyle w:val="0"/>
        <w:topLinePunct w:val="1"/>
        <w:autoSpaceDE w:val="0"/>
        <w:autoSpaceDN w:val="0"/>
        <w:rPr>
          <w:rFonts w:hint="default"/>
        </w:rPr>
      </w:pPr>
      <w:r>
        <w:rPr>
          <w:rFonts w:hint="eastAsia"/>
        </w:rPr>
        <mc:AlternateContent>
          <mc:Choice Requires="wps">
            <w:drawing>
              <wp:anchor simplePos="0" relativeHeight="7" behindDoc="0" locked="0" layoutInCell="1" hidden="0" allowOverlap="1">
                <wp:simplePos x="0" y="0"/>
                <wp:positionH relativeFrom="column">
                  <wp:posOffset>2984500</wp:posOffset>
                </wp:positionH>
                <wp:positionV relativeFrom="paragraph">
                  <wp:posOffset>12700</wp:posOffset>
                </wp:positionV>
                <wp:extent cx="1351280" cy="818515"/>
                <wp:effectExtent l="1048385" t="527050"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351280" cy="818515"/>
                        </a:xfrm>
                        <a:prstGeom prst="wedgeRoundRectCallout">
                          <a:avLst>
                            <a:gd name="adj1" fmla="val -127398"/>
                            <a:gd name="adj2" fmla="val -114157"/>
                            <a:gd name="adj3" fmla="val 16667"/>
                          </a:avLst>
                        </a:prstGeom>
                        <a:solidFill>
                          <a:srgbClr val="EAEAEA"/>
                        </a:solidFill>
                        <a:ln w="9525">
                          <a:solidFill>
                            <a:sysClr val="windowText" lastClr="000000"/>
                          </a:solidFill>
                          <a:miter/>
                        </a:ln>
                      </wps:spPr>
                      <wps:txbx>
                        <w:txbxContent>
                          <w:p>
                            <w:pPr>
                              <w:pStyle w:val="0"/>
                              <w:rPr>
                                <w:rFonts w:hint="default"/>
                              </w:rPr>
                            </w:pPr>
                            <w:r>
                              <w:rPr>
                                <w:rFonts w:hint="eastAsia" w:eastAsia="ＭＳ ゴシック"/>
                                <w:spacing w:val="-14"/>
                                <w:sz w:val="20"/>
                              </w:rPr>
                              <w:t>排出場所の所在地（県と市）別に集計するので必ず記入すること。</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pt;mso-position-vertical-relative:text;mso-position-horizontal-relative:text;position:absolute;height:64.45pt;width:106.4pt;margin-left:235pt;z-index:7;" o:spid="_x0000_s1033" o:allowincell="t" o:allowoverlap="t" filled="t" fillcolor="#eaeaea" stroked="t" strokecolor="#000000" strokeweight="0.75pt" o:spt="62" type="#_x0000_t62" adj="-16718,-13858">
                <v:fill/>
                <v:stroke filltype="solid"/>
                <v:textbox style="layout-flow:horizontal;">
                  <w:txbxContent>
                    <w:p>
                      <w:pPr>
                        <w:pStyle w:val="0"/>
                        <w:rPr>
                          <w:rFonts w:hint="default"/>
                        </w:rPr>
                      </w:pPr>
                      <w:r>
                        <w:rPr>
                          <w:rFonts w:hint="eastAsia" w:eastAsia="ＭＳ ゴシック"/>
                          <w:spacing w:val="-14"/>
                          <w:sz w:val="20"/>
                        </w:rPr>
                        <w:t>排出場所の所在地（県と市）別に集計するので必ず記入すること。</w:t>
                      </w:r>
                    </w:p>
                  </w:txbxContent>
                </v:textbox>
                <v:imagedata o:title=""/>
                <w10:wrap type="none" anchorx="text" anchory="text"/>
              </v:shape>
            </w:pict>
          </mc:Fallback>
        </mc:AlternateContent>
      </w:r>
      <w:r>
        <w:rPr>
          <w:rFonts w:hint="eastAsia"/>
        </w:rPr>
        <w:t>　備考</w:t>
      </w:r>
    </w:p>
    <w:p>
      <w:pPr>
        <w:pStyle w:val="0"/>
        <w:topLinePunct w:val="1"/>
        <w:autoSpaceDE w:val="0"/>
        <w:autoSpaceDN w:val="0"/>
        <w:rPr>
          <w:rFonts w:hint="eastAsia"/>
        </w:rPr>
      </w:pPr>
      <w:r>
        <w:rPr>
          <w:rFonts w:hint="eastAsia"/>
        </w:rPr>
        <w:t>　　１　翌年度の６月</w:t>
      </w:r>
      <w:r>
        <w:rPr>
          <w:rFonts w:hint="eastAsia"/>
        </w:rPr>
        <w:t>30</w:t>
      </w:r>
      <w:r>
        <w:rPr>
          <w:rFonts w:hint="eastAsia"/>
        </w:rPr>
        <w:t>日までに提出すること。</w:t>
      </w:r>
    </w:p>
    <w:p>
      <w:pPr>
        <w:pStyle w:val="0"/>
        <w:topLinePunct w:val="1"/>
        <w:autoSpaceDE w:val="0"/>
        <w:autoSpaceDN w:val="0"/>
        <w:rPr>
          <w:rFonts w:hint="eastAsia"/>
        </w:rPr>
      </w:pPr>
      <w:r>
        <w:rPr>
          <w:rFonts w:hint="eastAsia"/>
        </w:rPr>
        <w:t>　　２　受託量、処分量、処分後量及び委託量は、全てトンに換算すること。</w:t>
      </w:r>
    </w:p>
    <w:p>
      <w:pPr>
        <w:pStyle w:val="0"/>
        <w:topLinePunct w:val="1"/>
        <w:autoSpaceDE w:val="0"/>
        <w:autoSpaceDN w:val="0"/>
        <w:rPr>
          <w:rFonts w:hint="eastAsia"/>
        </w:rPr>
      </w:pPr>
      <w:r>
        <w:rPr>
          <w:rFonts w:hint="eastAsia"/>
        </w:rPr>
        <w:t>　　３　委託者とは、報告者に処分を委託した者をいい、排出事業者から委託を受ける場合と処分業者から再委託を受ける場合があること。なお、再委託である場合に</w:t>
      </w:r>
    </w:p>
    <w:p>
      <w:pPr>
        <w:pStyle w:val="0"/>
        <w:topLinePunct w:val="1"/>
        <w:autoSpaceDE w:val="0"/>
        <w:autoSpaceDN w:val="0"/>
        <w:rPr>
          <w:rFonts w:hint="eastAsia"/>
        </w:rPr>
      </w:pPr>
      <w:r>
        <w:rPr>
          <w:rFonts w:hint="eastAsia"/>
        </w:rPr>
        <w:t>　　　は、再委託者の許可番号を記載すること。</w:t>
      </w:r>
    </w:p>
    <w:p>
      <w:pPr>
        <w:pStyle w:val="0"/>
        <w:topLinePunct w:val="1"/>
        <w:autoSpaceDE w:val="0"/>
        <w:autoSpaceDN w:val="0"/>
        <w:rPr>
          <w:rFonts w:hint="eastAsia"/>
        </w:rPr>
      </w:pPr>
      <w:r>
        <w:rPr>
          <w:rFonts w:hint="eastAsia"/>
        </w:rPr>
        <w:t>　　４　「処分の委託先」とは報告者が産業廃棄物の処分を委託した者をいい、処分により生じた産業廃棄物の処分を委託した場合にあっては「残」と、処分の再委託</w:t>
      </w:r>
    </w:p>
    <w:p>
      <w:pPr>
        <w:pStyle w:val="0"/>
        <w:topLinePunct w:val="1"/>
        <w:autoSpaceDE w:val="0"/>
        <w:autoSpaceDN w:val="0"/>
        <w:rPr>
          <w:rFonts w:hint="eastAsia"/>
        </w:rPr>
      </w:pPr>
      <w:r>
        <w:rPr>
          <w:rFonts w:hint="eastAsia"/>
        </w:rPr>
        <w:t>　　　の場合は「再」と、「委託先の処分方法」の欄に委託先における処分方法とともに記載すること。</w:t>
      </w:r>
    </w:p>
    <w:p>
      <w:pPr>
        <w:pStyle w:val="0"/>
        <w:topLinePunct w:val="1"/>
        <w:autoSpaceDE w:val="0"/>
        <w:autoSpaceDN w:val="0"/>
        <w:rPr>
          <w:rFonts w:hint="eastAsia"/>
          <w:kern w:val="21"/>
        </w:rPr>
      </w:pPr>
      <w:r>
        <w:rPr>
          <w:rFonts w:hint="eastAsia"/>
        </w:rPr>
        <w:t>　　５　記載事項の全てを記載できないときは、この様式の例により作成した書面に記載して、その書面を添付すること。</w:t>
      </w:r>
    </w:p>
    <w:sectPr>
      <w:footerReference r:id="rId5" w:type="even"/>
      <w:pgSz w:w="16838" w:h="11906" w:orient="landscape"/>
      <w:pgMar w:top="907" w:right="851" w:bottom="567" w:left="851" w:header="567" w:footer="284" w:gutter="0"/>
      <w:cols w:space="720"/>
      <w:textDirection w:val="lrTb"/>
      <w:docGrid w:type="linesAndChars" w:linePitch="300" w:charSpace="-19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oNotTrackMoves/>
  <w:defaultTabStop w:val="840"/>
  <w:drawingGridHorizontalSpacing w:val="100"/>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customStyle="1">
    <w:name w:val="一太郎８/９"/>
    <w:next w:val="18"/>
    <w:link w:val="0"/>
    <w:uiPriority w:val="0"/>
    <w:pPr>
      <w:widowControl w:val="0"/>
      <w:wordWrap w:val="0"/>
      <w:autoSpaceDE w:val="0"/>
      <w:autoSpaceDN w:val="0"/>
      <w:adjustRightInd w:val="0"/>
      <w:spacing w:line="404" w:lineRule="atLeast"/>
      <w:jc w:val="both"/>
    </w:pPr>
    <w:rPr>
      <w:rFonts w:ascii="ＭＳ 明朝" w:hAnsi="ＭＳ 明朝" w:eastAsia="ＭＳ ゴシック"/>
      <w:spacing w:val="-2"/>
    </w:rPr>
  </w:style>
  <w:style w:type="paragraph" w:styleId="19">
    <w:name w:val="Balloon Text"/>
    <w:basedOn w:val="0"/>
    <w:next w:val="19"/>
    <w:link w:val="0"/>
    <w:uiPriority w:val="0"/>
    <w:semiHidden/>
    <w:rPr>
      <w:rFonts w:ascii="Arial" w:hAnsi="Arial" w:eastAsia="ＭＳ ゴシック"/>
      <w:sz w:val="18"/>
    </w:rPr>
  </w:style>
  <w:style w:type="paragraph" w:styleId="20">
    <w:name w:val="Body Text 2"/>
    <w:basedOn w:val="0"/>
    <w:next w:val="20"/>
    <w:link w:val="0"/>
    <w:uiPriority w:val="0"/>
    <w:pPr>
      <w:spacing w:line="320" w:lineRule="exact"/>
    </w:pPr>
    <w:rPr>
      <w:sz w:val="20"/>
    </w:rPr>
  </w:style>
  <w:style w:type="paragraph" w:styleId="21">
    <w:name w:val="Body Text"/>
    <w:basedOn w:val="0"/>
    <w:next w:val="21"/>
    <w:link w:val="0"/>
    <w:uiPriority w:val="0"/>
    <w:rPr>
      <w:rFonts w:ascii="Century" w:hAnsi="Century"/>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4</Words>
  <Characters>830</Characters>
  <Application>JUST Note</Application>
  <Lines>550</Lines>
  <Paragraphs>86</Paragraphs>
  <Company>長野市役所</Company>
  <CharactersWithSpaces>1194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坂田　卓実</dc:creator>
  <cp:lastModifiedBy>坂田　卓実</cp:lastModifiedBy>
  <cp:lastPrinted>2011-04-26T04:23:00Z</cp:lastPrinted>
  <dcterms:created xsi:type="dcterms:W3CDTF">2021-04-08T02:06:00Z</dcterms:created>
  <dcterms:modified xsi:type="dcterms:W3CDTF">2021-04-08T02:25:01Z</dcterms:modified>
  <cp:revision>4</cp:revision>
</cp:coreProperties>
</file>