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522245">
              <w:rPr>
                <w:rFonts w:ascii="ＭＳ 明朝" w:eastAsia="ＭＳ 明朝" w:hAnsi="ＭＳ 明朝" w:cs="ＭＳ 明朝" w:hint="eastAsia"/>
                <w:spacing w:val="0"/>
              </w:rPr>
              <w:t>03642</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522245" w:rsidP="00132C07">
            <w:pPr>
              <w:ind w:firstLineChars="100" w:firstLine="233"/>
            </w:pPr>
            <w:r w:rsidRPr="00522245">
              <w:rPr>
                <w:rFonts w:hint="eastAsia"/>
              </w:rPr>
              <w:t>長野市青少年錬成センター遊具改修工事</w:t>
            </w:r>
            <w:bookmarkStart w:id="0" w:name="_GoBack"/>
            <w:bookmarkEnd w:id="0"/>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3F" w:rsidRDefault="00F0503F">
      <w:r>
        <w:separator/>
      </w:r>
    </w:p>
  </w:endnote>
  <w:endnote w:type="continuationSeparator" w:id="0">
    <w:p w:rsidR="00F0503F" w:rsidRDefault="00F0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3F" w:rsidRDefault="00F0503F">
      <w:r>
        <w:separator/>
      </w:r>
    </w:p>
  </w:footnote>
  <w:footnote w:type="continuationSeparator" w:id="0">
    <w:p w:rsidR="00F0503F" w:rsidRDefault="00F0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522245"/>
    <w:rsid w:val="00706B3D"/>
    <w:rsid w:val="0078239C"/>
    <w:rsid w:val="00BD2A46"/>
    <w:rsid w:val="00D45AD5"/>
    <w:rsid w:val="00F0503F"/>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00036603</cp:lastModifiedBy>
  <cp:revision>3</cp:revision>
  <dcterms:created xsi:type="dcterms:W3CDTF">2022-05-26T06:57:00Z</dcterms:created>
  <dcterms:modified xsi:type="dcterms:W3CDTF">2022-06-23T03:43:00Z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