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8" w:after="0"/>
        <w:rPr/>
      </w:pPr>
      <w:r>
        <w:rPr>
          <w:rFonts w:ascii="ＭＳ ゴシック;MS Gothic" w:hAnsi="ＭＳ ゴシック;MS Gothic" w:cs="ＭＳ ゴシック;MS Gothic" w:eastAsia="ＭＳ ゴシック;MS Gothic"/>
          <w:sz w:val="24"/>
        </w:rPr>
        <w:t>○</w:t>
      </w:r>
      <w:r>
        <w:rPr>
          <w:rFonts w:ascii="ＭＳ ゴシック;MS Gothic" w:hAnsi="ＭＳ ゴシック;MS Gothic" w:eastAsia="ＭＳ ゴシック;MS Gothic"/>
          <w:sz w:val="24"/>
        </w:rPr>
        <w:t>　ばい煙発生施設の構造概要図（施行規則様式第２号 別紙１備考３）</w:t>
      </w:r>
    </w:p>
    <w:p>
      <w:pPr>
        <w:pStyle w:val="Normal"/>
        <w:ind w:firstLine="384"/>
        <w:rPr>
          <w:sz w:val="21"/>
        </w:rPr>
      </w:pPr>
      <w:r>
        <w:rPr>
          <w:sz w:val="21"/>
        </w:rPr>
        <w:t>概要図は主要寸法を記入し、日本工業規格Ａ４の大きさに縮小したもの又は既存図面等を用いること。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ＭＳ ゴシック;MS Gothic" w:hAnsi="ＭＳ ゴシック;MS Gothic" w:cs="ＭＳ ゴシック;MS Gothic" w:eastAsia="ＭＳ ゴシック;MS Gothic"/>
          <w:sz w:val="24"/>
        </w:rPr>
        <w:t>○</w:t>
      </w:r>
      <w:r>
        <w:rPr>
          <w:rFonts w:ascii="ＭＳ ゴシック;MS Gothic" w:hAnsi="ＭＳ ゴシック;MS Gothic" w:eastAsia="ＭＳ ゴシック;MS Gothic"/>
          <w:sz w:val="24"/>
        </w:rPr>
        <w:t>　ばい煙処理施設（煙突を含む。）の構造概要図（施行規則様式第２号 別紙３備考４）</w:t>
      </w:r>
    </w:p>
    <w:p>
      <w:pPr>
        <w:pStyle w:val="Normal"/>
        <w:ind w:firstLine="384"/>
        <w:rPr>
          <w:sz w:val="21"/>
        </w:rPr>
      </w:pPr>
      <w:r>
        <w:rPr>
          <w:sz w:val="21"/>
        </w:rPr>
        <w:t>概要図は主要寸法を記入し、日本工業規格Ａ４の大きさに縮小したもの又は既存図面等を用いること。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ＭＳ ゴシック;MS Gothic" w:hAnsi="ＭＳ ゴシック;MS Gothic" w:cs="ＭＳ ゴシック;MS Gothic" w:eastAsia="ＭＳ ゴシック;MS Gothic"/>
          <w:sz w:val="24"/>
        </w:rPr>
        <w:t>○</w:t>
      </w:r>
      <w:r>
        <w:rPr>
          <w:rFonts w:ascii="ＭＳ ゴシック;MS Gothic" w:hAnsi="ＭＳ ゴシック;MS Gothic" w:eastAsia="ＭＳ ゴシック;MS Gothic"/>
          <w:sz w:val="24"/>
        </w:rPr>
        <w:t>　ばい煙の排出の方法（施行規則第</w:t>
      </w:r>
      <w:r>
        <w:rPr>
          <w:rFonts w:eastAsia="ＭＳ ゴシック;MS Gothic" w:ascii="ＭＳ ゴシック;MS Gothic" w:hAnsi="ＭＳ ゴシック;MS Gothic"/>
          <w:sz w:val="24"/>
        </w:rPr>
        <w:t>10</w:t>
      </w:r>
      <w:r>
        <w:rPr>
          <w:rFonts w:ascii="ＭＳ ゴシック;MS Gothic" w:hAnsi="ＭＳ ゴシック;MS Gothic" w:eastAsia="ＭＳ ゴシック;MS Gothic"/>
          <w:sz w:val="24"/>
        </w:rPr>
        <w:t>条 別表第６）</w:t>
      </w:r>
    </w:p>
    <w:p>
      <w:pPr>
        <w:pStyle w:val="Normal"/>
        <w:rPr>
          <w:rFonts w:ascii="ＭＳ ゴシック;MS Gothic" w:hAnsi="ＭＳ ゴシック;MS Gothic" w:eastAsia="ＭＳ ゴシック;MS Gothic"/>
          <w:sz w:val="24"/>
        </w:rPr>
      </w:pPr>
      <w:r>
        <w:rPr>
          <w:rFonts w:eastAsia="ＭＳ ゴシック;MS Gothic" w:ascii="ＭＳ ゴシック;MS Gothic" w:hAnsi="ＭＳ ゴシック;MS Gothic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rFonts w:ascii="ＭＳ ゴシック;MS Gothic" w:hAnsi="ＭＳ ゴシック;MS Gothic" w:eastAsia="ＭＳ ゴシック;MS Gothic"/>
          <w:sz w:val="24"/>
        </w:rPr>
        <w:t>ばい煙発生施設及びばい煙処理施設の配置図（施行規則第</w:t>
      </w:r>
      <w:r>
        <w:rPr>
          <w:rFonts w:eastAsia="ＭＳ ゴシック;MS Gothic" w:ascii="ＭＳ ゴシック;MS Gothic" w:hAnsi="ＭＳ ゴシック;MS Gothic"/>
          <w:sz w:val="24"/>
        </w:rPr>
        <w:t>10</w:t>
      </w:r>
      <w:r>
        <w:rPr>
          <w:rFonts w:ascii="ＭＳ ゴシック;MS Gothic" w:hAnsi="ＭＳ ゴシック;MS Gothic" w:eastAsia="ＭＳ ゴシック;MS Gothic"/>
          <w:sz w:val="24"/>
        </w:rPr>
        <w:t>条 別表第６）</w:t>
      </w:r>
    </w:p>
    <w:p>
      <w:pPr>
        <w:pStyle w:val="Normal"/>
        <w:ind w:firstLine="384"/>
        <w:rPr/>
      </w:pPr>
      <w:r>
        <w:rPr>
          <w:sz w:val="21"/>
        </w:rPr>
        <w:t>事業所（工場）の内部及び付近の見取り図を添付すること。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ＭＳ ゴシック;MS Gothic" w:hAnsi="ＭＳ ゴシック;MS Gothic" w:cs="ＭＳ ゴシック;MS Gothic" w:eastAsia="ＭＳ ゴシック;MS Gothic"/>
          <w:sz w:val="24"/>
        </w:rPr>
        <w:t>○</w:t>
      </w:r>
      <w:r>
        <w:rPr>
          <w:rFonts w:ascii="ＭＳ ゴシック;MS Gothic" w:hAnsi="ＭＳ ゴシック;MS Gothic" w:eastAsia="ＭＳ ゴシック;MS Gothic"/>
          <w:sz w:val="24"/>
        </w:rPr>
        <w:t>　ばい煙の発生及びばい煙の処理に係る操業の系統の概要（施行規則第</w:t>
      </w:r>
      <w:r>
        <w:rPr>
          <w:rFonts w:eastAsia="ＭＳ ゴシック;MS Gothic" w:ascii="ＭＳ ゴシック;MS Gothic" w:hAnsi="ＭＳ ゴシック;MS Gothic"/>
          <w:sz w:val="24"/>
        </w:rPr>
        <w:t>10</w:t>
      </w:r>
      <w:r>
        <w:rPr>
          <w:rFonts w:ascii="ＭＳ ゴシック;MS Gothic" w:hAnsi="ＭＳ ゴシック;MS Gothic" w:eastAsia="ＭＳ ゴシック;MS Gothic"/>
          <w:sz w:val="24"/>
        </w:rPr>
        <w:t>条 別表第６）</w:t>
      </w:r>
    </w:p>
    <w:p>
      <w:pPr>
        <w:pStyle w:val="Normal"/>
        <w:rPr>
          <w:rFonts w:ascii="ＭＳ ゴシック;MS Gothic" w:hAnsi="ＭＳ ゴシック;MS Gothic" w:eastAsia="ＭＳ ゴシック;MS Gothic"/>
          <w:sz w:val="24"/>
        </w:rPr>
      </w:pPr>
      <w:r>
        <w:rPr>
          <w:rFonts w:eastAsia="ＭＳ ゴシック;MS Gothic" w:ascii="ＭＳ ゴシック;MS Gothic" w:hAnsi="ＭＳ ゴシック;MS Gothic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>
          <w:rFonts w:ascii="ＭＳ ゴシック;MS Gothic" w:hAnsi="ＭＳ ゴシック;MS Gothic" w:eastAsia="ＭＳ ゴシック;MS Gothic"/>
          <w:sz w:val="24"/>
        </w:rPr>
      </w:pPr>
      <w:r>
        <w:rPr>
          <w:rFonts w:ascii="ＭＳ ゴシック;MS Gothic" w:hAnsi="ＭＳ ゴシック;MS Gothic" w:eastAsia="ＭＳ ゴシック;MS Gothic"/>
          <w:sz w:val="24"/>
        </w:rPr>
        <w:t>煙道に排出ガスの測定箇所が設けられている場合は、その場所</w:t>
      </w:r>
    </w:p>
    <w:p>
      <w:pPr>
        <w:pStyle w:val="Normal"/>
        <w:ind w:firstLine="444"/>
        <w:rPr/>
      </w:pPr>
      <w:r>
        <w:rPr>
          <w:rFonts w:ascii="ＭＳ ゴシック;MS Gothic" w:hAnsi="ＭＳ ゴシック;MS Gothic" w:eastAsia="ＭＳ ゴシック;MS Gothic"/>
          <w:sz w:val="24"/>
        </w:rPr>
        <w:t>（施行規則第</w:t>
      </w:r>
      <w:r>
        <w:rPr>
          <w:rFonts w:eastAsia="ＭＳ ゴシック;MS Gothic" w:ascii="ＭＳ ゴシック;MS Gothic" w:hAnsi="ＭＳ ゴシック;MS Gothic"/>
          <w:sz w:val="24"/>
        </w:rPr>
        <w:t>10</w:t>
      </w:r>
      <w:r>
        <w:rPr>
          <w:rFonts w:ascii="ＭＳ ゴシック;MS Gothic" w:hAnsi="ＭＳ ゴシック;MS Gothic" w:eastAsia="ＭＳ ゴシック;MS Gothic"/>
          <w:sz w:val="24"/>
        </w:rPr>
        <w:t>条 別表第６）</w:t>
      </w:r>
    </w:p>
    <w:p>
      <w:pPr>
        <w:pStyle w:val="Normal"/>
        <w:rPr>
          <w:rFonts w:ascii="ＭＳ ゴシック;MS Gothic" w:hAnsi="ＭＳ ゴシック;MS Gothic" w:eastAsia="ＭＳ ゴシック;MS Gothic"/>
          <w:sz w:val="24"/>
        </w:rPr>
      </w:pPr>
      <w:r>
        <w:rPr>
          <w:rFonts w:eastAsia="ＭＳ ゴシック;MS Gothic" w:ascii="ＭＳ ゴシック;MS Gothic" w:hAnsi="ＭＳ ゴシック;MS Gothic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ＭＳ ゴシック;MS Gothic" w:hAnsi="ＭＳ ゴシック;MS Gothic" w:cs="ＭＳ ゴシック;MS Gothic" w:eastAsia="ＭＳ ゴシック;MS Gothic"/>
          <w:sz w:val="24"/>
        </w:rPr>
        <w:t>○</w:t>
      </w:r>
      <w:r>
        <w:rPr>
          <w:rFonts w:ascii="ＭＳ ゴシック;MS Gothic" w:hAnsi="ＭＳ ゴシック;MS Gothic" w:eastAsia="ＭＳ ゴシック;MS Gothic"/>
          <w:sz w:val="24"/>
        </w:rPr>
        <w:t>　緊急連絡用の電話番号・その他緊急時の連絡方法（施行規則第</w:t>
      </w:r>
      <w:r>
        <w:rPr>
          <w:rFonts w:eastAsia="ＭＳ ゴシック;MS Gothic" w:ascii="ＭＳ ゴシック;MS Gothic" w:hAnsi="ＭＳ ゴシック;MS Gothic"/>
          <w:sz w:val="24"/>
        </w:rPr>
        <w:t>10</w:t>
      </w:r>
      <w:r>
        <w:rPr>
          <w:rFonts w:ascii="ＭＳ ゴシック;MS Gothic" w:hAnsi="ＭＳ ゴシック;MS Gothic" w:eastAsia="ＭＳ ゴシック;MS Gothic"/>
          <w:sz w:val="24"/>
        </w:rPr>
        <w:t>条 別表第６</w:t>
      </w:r>
      <w:r>
        <w:rPr/>
        <w:t>）</w:t>
      </w:r>
    </w:p>
    <w:tbl>
      <w:tblPr>
        <w:tblW w:w="6888" w:type="dxa"/>
        <w:jc w:val="start"/>
        <w:tblInd w:w="637" w:type="dxa"/>
        <w:tblLayout w:type="fixed"/>
        <w:tblCellMar>
          <w:top w:w="0" w:type="dxa"/>
          <w:start w:w="99" w:type="dxa"/>
          <w:bottom w:w="0" w:type="dxa"/>
          <w:end w:w="99" w:type="dxa"/>
        </w:tblCellMar>
      </w:tblPr>
      <w:tblGrid>
        <w:gridCol w:w="1991"/>
        <w:gridCol w:w="4897"/>
      </w:tblGrid>
      <w:tr>
        <w:trPr>
          <w:trHeight w:val="540" w:hRule="atLeast"/>
        </w:trPr>
        <w:tc>
          <w:tcPr>
            <w:tcW w:w="1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sz w:val="21"/>
              </w:rPr>
            </w:pPr>
            <w:r>
              <w:rPr>
                <w:sz w:val="21"/>
              </w:rPr>
              <w:t>電話</w:t>
            </w:r>
          </w:p>
        </w:tc>
        <w:tc>
          <w:tcPr>
            <w:tcW w:w="48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40" w:hRule="atLeast"/>
        </w:trPr>
        <w:tc>
          <w:tcPr>
            <w:tcW w:w="1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sz w:val="21"/>
              </w:rPr>
            </w:pPr>
            <w:r>
              <w:rPr>
                <w:sz w:val="21"/>
              </w:rPr>
              <w:t>担当者</w:t>
            </w:r>
          </w:p>
        </w:tc>
        <w:tc>
          <w:tcPr>
            <w:tcW w:w="48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776" w:footer="0" w:bottom="397" w:gutter="0"/>
      <w:pgNumType w:fmt="decimal"/>
      <w:formProt w:val="false"/>
      <w:textDirection w:val="lrTb"/>
      <w:docGrid w:type="linesAndChars" w:linePitch="275" w:charSpace="42949634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ＭＳ 明朝">
    <w:altName w:val="MS Mincho"/>
    <w:charset w:val="80"/>
    <w:family w:val="roman"/>
    <w:pitch w:val="default"/>
  </w:font>
  <w:font w:name="ＭＳ ゴシック">
    <w:altName w:val="MS Gothic"/>
    <w:charset w:val="8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extAlignment w:val="auto"/>
      <w:rPr>
        <w:rFonts w:cs="Times New Roman;@????"/>
        <w:color w:val="000000"/>
        <w:sz w:val="24"/>
      </w:rPr>
    </w:pPr>
    <w:r>
      <w:rPr>
        <w:rFonts w:cs="Times New Roman;@????"/>
        <w:color w:val="000000"/>
        <w:sz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extAlignment w:val="auto"/>
      <w:rPr>
        <w:rFonts w:cs="Times New Roman;@????"/>
        <w:color w:val="000000"/>
        <w:sz w:val="24"/>
      </w:rPr>
    </w:pPr>
    <w:r>
      <w:rPr>
        <w:rFonts w:cs="Times New Roman;@????"/>
        <w:color w:val="000000"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○"/>
      <w:lvlJc w:val="start"/>
      <w:pPr>
        <w:tabs>
          <w:tab w:val="num" w:pos="450"/>
        </w:tabs>
        <w:ind w:start="450" w:hanging="450"/>
      </w:pPr>
      <w:rPr>
        <w:rFonts w:ascii="ＭＳ ゴシック" w:hAnsi="ＭＳ ゴシック" w:cs="ＭＳ ゴシック" w:hint="default"/>
      </w:rPr>
    </w:lvl>
  </w:abstractNum>
  <w:abstractNum w:abstractNumId="2">
    <w:lvl w:ilvl="0">
      <w:numFmt w:val="bullet"/>
      <w:lvlText w:val="○"/>
      <w:lvlJc w:val="start"/>
      <w:pPr>
        <w:tabs>
          <w:tab w:val="num" w:pos="450"/>
        </w:tabs>
        <w:ind w:start="450" w:hanging="450"/>
      </w:pPr>
      <w:rPr>
        <w:rFonts w:ascii="ＭＳ ゴシック" w:hAnsi="ＭＳ ゴシック" w:cs="ＭＳ ゴシック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IPA明朝" w:cs="Noto Sans Devanagari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  <w:textAlignment w:val="baseline"/>
    </w:pPr>
    <w:rPr>
      <w:rFonts w:ascii="ＭＳ 明朝;MS Mincho" w:hAnsi="ＭＳ 明朝;MS Mincho" w:eastAsia="ＭＳ 明朝;MS Mincho" w:cs="ＭＳ 明朝;MS Mincho"/>
      <w:color w:val="000000"/>
      <w:sz w:val="20"/>
      <w:szCs w:val="20"/>
      <w:lang w:val="en-US" w:eastAsia="ja-JP" w:bidi="ar-SA"/>
    </w:rPr>
  </w:style>
  <w:style w:type="character" w:styleId="WW8Num1z0">
    <w:name w:val="WW8Num1z0"/>
    <w:qFormat/>
    <w:rPr>
      <w:rFonts w:ascii="ＭＳ ゴシック;MS Gothic" w:hAnsi="ＭＳ ゴシック;MS Gothic" w:eastAsia="ＭＳ ゴシック;MS Gothic" w:cs="Times New Roman;@????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>
      <w:rFonts w:ascii="ＭＳ ゴシック;MS Gothic" w:hAnsi="ＭＳ ゴシック;MS Gothic" w:eastAsia="ＭＳ ゴシック;MS Gothic" w:cs="Times New Roman;@????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rFonts w:ascii="ＭＳ ゴシック;MS Gothic" w:hAnsi="ＭＳ ゴシック;MS Gothic" w:eastAsia="ＭＳ ゴシック;MS Gothic" w:cs="Times New Roman;@????"/>
      <w:sz w:val="24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IPAゴシック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Noto Sans Devanagari"/>
    </w:rPr>
  </w:style>
  <w:style w:type="paragraph" w:styleId="Style20">
    <w:name w:val="表の内容"/>
    <w:basedOn w:val="Normal"/>
    <w:qFormat/>
    <w:pPr>
      <w:widowControl w:val="false"/>
      <w:suppressLineNumbers/>
    </w:pPr>
    <w:rPr/>
  </w:style>
  <w:style w:type="paragraph" w:styleId="Style21">
    <w:name w:val="表の見出し"/>
    <w:basedOn w:val="Style20"/>
    <w:qFormat/>
    <w:pPr>
      <w:suppressLineNumbers/>
      <w:jc w:val="center"/>
    </w:pPr>
    <w:rPr>
      <w:b/>
      <w:bCs/>
    </w:rPr>
  </w:style>
  <w:style w:type="paragraph" w:styleId="Style22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Style22"/>
    <w:pPr>
      <w:suppressLineNumbers/>
    </w:pPr>
    <w:rPr/>
  </w:style>
  <w:style w:type="paragraph" w:styleId="Style24">
    <w:name w:val="Header"/>
    <w:basedOn w:val="Style22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LibreOffice/7.0.4.2$Linux_X86_64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2011-02-22T04:41:00Z</dcterms:created>
  <dc:creator>00059817</dc:creator>
  <dc:description/>
  <cp:keywords> </cp:keywords>
  <dc:language>ja-JP</dc:language>
  <cp:lastModifiedBy>00059817</cp:lastModifiedBy>
  <dcterms:modified xsi:type="dcterms:W3CDTF">2011-02-22T10:56:00Z</dcterms:modified>
  <cp:revision>5</cp:revision>
  <dc:subject/>
  <dc:title>○　ばい煙発生施設の構造概要図（施行規則様式第１ 別紙１備考３）</dc:title>
</cp:coreProperties>
</file>