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142" w:rightFromText="142" w:topFromText="0" w:bottomFromText="0" w:vertAnchor="text" w:horzAnchor="margin" w:tblpXSpec="left" w:tblpY="405"/>
        <w:tblW w:w="8784" w:type="dxa"/>
        <w:tblLayout w:type="fixed"/>
        <w:tblLook w:firstRow="1" w:lastRow="0" w:firstColumn="1" w:lastColumn="0" w:noHBand="0" w:noVBand="1" w:val="04A0"/>
      </w:tblPr>
      <w:tblGrid>
        <w:gridCol w:w="2405"/>
        <w:gridCol w:w="6379"/>
      </w:tblGrid>
      <w:tr>
        <w:trPr>
          <w:trHeight w:val="989" w:hRule="atLeast"/>
        </w:trPr>
        <w:tc>
          <w:tcPr>
            <w:tcW w:w="2405" w:type="dxa"/>
            <w:vAlign w:val="center"/>
          </w:tcPr>
          <w:p>
            <w:pPr>
              <w:pStyle w:val="0"/>
              <w:jc w:val="left"/>
              <w:rPr>
                <w:rFonts w:hint="default"/>
              </w:rPr>
            </w:pPr>
            <w:r>
              <w:rPr>
                <w:rFonts w:hint="eastAsia"/>
              </w:rPr>
              <w:t>到達目標</w:t>
            </w:r>
          </w:p>
        </w:tc>
        <w:tc>
          <w:tcPr>
            <w:tcW w:w="6379" w:type="dxa"/>
            <w:vAlign w:val="center"/>
          </w:tcPr>
          <w:p>
            <w:pPr>
              <w:pStyle w:val="0"/>
              <w:ind w:left="210" w:hanging="210" w:hangingChars="100"/>
              <w:jc w:val="left"/>
              <w:rPr>
                <w:rFonts w:hint="default"/>
              </w:rPr>
            </w:pPr>
            <w:r>
              <w:rPr>
                <w:rFonts w:hint="eastAsia"/>
              </w:rPr>
              <w:t>１　心肺蘇生法（主に成人を対象）を、救急車が現場到着するのに要する時間程度できる。</w:t>
            </w:r>
          </w:p>
          <w:p>
            <w:pPr>
              <w:pStyle w:val="0"/>
              <w:ind w:left="210" w:hanging="210" w:hangingChars="100"/>
              <w:jc w:val="left"/>
              <w:rPr>
                <w:rFonts w:hint="default"/>
              </w:rPr>
            </w:pPr>
            <w:r>
              <w:rPr>
                <w:rFonts w:hint="eastAsia"/>
              </w:rPr>
              <w:t>２　自動体外式除細動器（</w:t>
            </w:r>
            <w:r>
              <w:rPr>
                <w:rFonts w:hint="eastAsia"/>
              </w:rPr>
              <w:t>AED</w:t>
            </w:r>
            <w:r>
              <w:rPr>
                <w:rFonts w:hint="eastAsia"/>
              </w:rPr>
              <w:t>）について理解し、正しく使用できる。</w:t>
            </w:r>
          </w:p>
          <w:p>
            <w:pPr>
              <w:pStyle w:val="0"/>
              <w:jc w:val="left"/>
              <w:rPr>
                <w:rFonts w:hint="default"/>
              </w:rPr>
            </w:pPr>
            <w:r>
              <w:rPr>
                <w:rFonts w:hint="eastAsia"/>
              </w:rPr>
              <w:t>３　異物除去法及び大出血時の止血法を理解できる。</w:t>
            </w:r>
          </w:p>
        </w:tc>
      </w:tr>
    </w:tbl>
    <w:p>
      <w:pPr>
        <w:pStyle w:val="0"/>
        <w:rPr>
          <w:rFonts w:hint="default"/>
        </w:rPr>
      </w:pPr>
      <w:r>
        <w:rPr>
          <w:rFonts w:hint="eastAsia"/>
        </w:rPr>
        <w:t>普通救命講習Ⅱ　カリキュラム</w:t>
      </w:r>
    </w:p>
    <w:p>
      <w:pPr>
        <w:pStyle w:val="0"/>
        <w:rPr>
          <w:rFonts w:hint="default"/>
        </w:rPr>
      </w:pPr>
    </w:p>
    <w:tbl>
      <w:tblPr>
        <w:tblStyle w:val="21"/>
        <w:tblW w:w="8784" w:type="dxa"/>
        <w:tblInd w:w="0" w:type="dxa"/>
        <w:tblLayout w:type="fixed"/>
        <w:tblLook w:firstRow="1" w:lastRow="0" w:firstColumn="1" w:lastColumn="0" w:noHBand="0" w:noVBand="1" w:val="04A0"/>
      </w:tblPr>
      <w:tblGrid>
        <w:gridCol w:w="1413"/>
        <w:gridCol w:w="992"/>
        <w:gridCol w:w="1418"/>
        <w:gridCol w:w="3825"/>
        <w:gridCol w:w="1136"/>
      </w:tblGrid>
      <w:tr>
        <w:trPr>
          <w:trHeight w:val="484" w:hRule="atLeast"/>
        </w:trPr>
        <w:tc>
          <w:tcPr>
            <w:tcW w:w="3823" w:type="dxa"/>
            <w:gridSpan w:val="3"/>
            <w:vAlign w:val="center"/>
          </w:tcPr>
          <w:p>
            <w:pPr>
              <w:pStyle w:val="0"/>
              <w:jc w:val="center"/>
              <w:rPr>
                <w:rFonts w:hint="default"/>
              </w:rPr>
            </w:pPr>
            <w:r>
              <w:rPr>
                <w:rFonts w:hint="eastAsia"/>
              </w:rPr>
              <w:t>項　　　　　目</w:t>
            </w:r>
          </w:p>
        </w:tc>
        <w:tc>
          <w:tcPr>
            <w:tcW w:w="3825" w:type="dxa"/>
            <w:vAlign w:val="center"/>
          </w:tcPr>
          <w:p>
            <w:pPr>
              <w:pStyle w:val="0"/>
              <w:jc w:val="center"/>
              <w:rPr>
                <w:rFonts w:hint="default"/>
              </w:rPr>
            </w:pPr>
            <w:r>
              <w:rPr>
                <w:rFonts w:hint="eastAsia"/>
              </w:rPr>
              <w:t>細　　　　　目</w:t>
            </w:r>
          </w:p>
        </w:tc>
        <w:tc>
          <w:tcPr>
            <w:tcW w:w="1136" w:type="dxa"/>
            <w:vAlign w:val="center"/>
          </w:tcPr>
          <w:p>
            <w:pPr>
              <w:pStyle w:val="0"/>
              <w:rPr>
                <w:rFonts w:hint="default"/>
              </w:rPr>
            </w:pPr>
            <w:r>
              <w:rPr>
                <w:rFonts w:hint="eastAsia"/>
              </w:rPr>
              <w:t>時間（分）</w:t>
            </w:r>
          </w:p>
        </w:tc>
      </w:tr>
      <w:tr>
        <w:trPr>
          <w:trHeight w:val="822" w:hRule="atLeast"/>
        </w:trPr>
        <w:tc>
          <w:tcPr>
            <w:tcW w:w="3823" w:type="dxa"/>
            <w:gridSpan w:val="3"/>
            <w:vAlign w:val="center"/>
          </w:tcPr>
          <w:p>
            <w:pPr>
              <w:pStyle w:val="0"/>
              <w:rPr>
                <w:rFonts w:hint="default"/>
              </w:rPr>
            </w:pPr>
            <w:r>
              <w:rPr>
                <w:rFonts w:hint="eastAsia"/>
              </w:rPr>
              <w:t>応急手当の重要性</w:t>
            </w:r>
          </w:p>
        </w:tc>
        <w:tc>
          <w:tcPr>
            <w:tcW w:w="3825" w:type="dxa"/>
            <w:vAlign w:val="center"/>
          </w:tcPr>
          <w:p>
            <w:pPr>
              <w:pStyle w:val="0"/>
              <w:rPr>
                <w:rFonts w:hint="default"/>
              </w:rPr>
            </w:pPr>
            <w:r>
              <w:rPr>
                <w:rFonts w:hint="eastAsia"/>
              </w:rPr>
              <w:t>応急手当の目的・必要性（心停止の予防等を含む）等</w:t>
            </w:r>
          </w:p>
        </w:tc>
        <w:tc>
          <w:tcPr>
            <w:tcW w:w="1136" w:type="dxa"/>
            <w:vAlign w:val="center"/>
          </w:tcPr>
          <w:p>
            <w:pPr>
              <w:pStyle w:val="0"/>
              <w:jc w:val="center"/>
              <w:rPr>
                <w:rFonts w:hint="default"/>
              </w:rPr>
            </w:pPr>
            <w:r>
              <w:rPr>
                <w:rFonts w:hint="eastAsia"/>
              </w:rPr>
              <w:t>15</w:t>
            </w:r>
          </w:p>
        </w:tc>
      </w:tr>
      <w:tr>
        <w:trPr>
          <w:trHeight w:val="419" w:hRule="atLeast"/>
        </w:trPr>
        <w:tc>
          <w:tcPr>
            <w:tcW w:w="1413" w:type="dxa"/>
            <w:vMerge w:val="restart"/>
            <w:vAlign w:val="center"/>
          </w:tcPr>
          <w:p>
            <w:pPr>
              <w:pStyle w:val="0"/>
              <w:rPr>
                <w:rFonts w:hint="default"/>
              </w:rPr>
            </w:pPr>
            <w:r>
              <w:rPr>
                <w:rFonts w:hint="eastAsia"/>
              </w:rPr>
              <w:t>救命に必要な応急手当（主に小児、乳児、新生児に対する方法）</w:t>
            </w:r>
          </w:p>
          <w:p>
            <w:pPr>
              <w:pStyle w:val="0"/>
              <w:rPr>
                <w:rFonts w:hint="default"/>
              </w:rPr>
            </w:pPr>
          </w:p>
        </w:tc>
        <w:tc>
          <w:tcPr>
            <w:tcW w:w="992" w:type="dxa"/>
            <w:vMerge w:val="restart"/>
            <w:vAlign w:val="center"/>
          </w:tcPr>
          <w:p>
            <w:pPr>
              <w:pStyle w:val="0"/>
              <w:rPr>
                <w:rFonts w:hint="default"/>
              </w:rPr>
            </w:pPr>
            <w:r>
              <w:rPr>
                <w:rFonts w:hint="eastAsia"/>
              </w:rPr>
              <w:t>心肺蘇生法</w:t>
            </w:r>
          </w:p>
        </w:tc>
        <w:tc>
          <w:tcPr>
            <w:tcW w:w="1418" w:type="dxa"/>
            <w:vMerge w:val="restart"/>
            <w:vAlign w:val="center"/>
          </w:tcPr>
          <w:p>
            <w:pPr>
              <w:pStyle w:val="0"/>
              <w:rPr>
                <w:rFonts w:hint="default"/>
              </w:rPr>
            </w:pPr>
            <w:r>
              <w:rPr>
                <w:rFonts w:hint="eastAsia"/>
              </w:rPr>
              <w:t>基本的心肺蘇生法（実技）</w:t>
            </w:r>
          </w:p>
        </w:tc>
        <w:tc>
          <w:tcPr>
            <w:tcW w:w="3825" w:type="dxa"/>
            <w:vAlign w:val="center"/>
          </w:tcPr>
          <w:p>
            <w:pPr>
              <w:pStyle w:val="0"/>
              <w:rPr>
                <w:rFonts w:hint="default"/>
              </w:rPr>
            </w:pPr>
            <w:r>
              <w:rPr>
                <w:rFonts w:hint="eastAsia"/>
              </w:rPr>
              <w:t>反応の確認、通報</w:t>
            </w:r>
          </w:p>
        </w:tc>
        <w:tc>
          <w:tcPr>
            <w:tcW w:w="1136" w:type="dxa"/>
            <w:vMerge w:val="restart"/>
            <w:vAlign w:val="center"/>
          </w:tcPr>
          <w:p>
            <w:pPr>
              <w:pStyle w:val="0"/>
              <w:jc w:val="center"/>
              <w:rPr>
                <w:rFonts w:hint="default"/>
              </w:rPr>
            </w:pPr>
            <w:r>
              <w:rPr>
                <w:rFonts w:hint="eastAsia"/>
              </w:rPr>
              <w:t>165</w:t>
            </w:r>
          </w:p>
        </w:tc>
      </w:tr>
      <w:tr>
        <w:trPr>
          <w:trHeight w:val="393"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胸骨圧迫要領</w:t>
            </w:r>
          </w:p>
        </w:tc>
        <w:tc>
          <w:tcPr>
            <w:tcW w:w="1136" w:type="dxa"/>
            <w:vMerge w:val="continue"/>
            <w:vAlign w:val="center"/>
          </w:tcPr>
          <w:p>
            <w:pPr>
              <w:pStyle w:val="0"/>
              <w:rPr>
                <w:rFonts w:hint="default"/>
              </w:rPr>
            </w:pPr>
          </w:p>
        </w:tc>
      </w:tr>
      <w:tr>
        <w:trPr>
          <w:trHeight w:val="393"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気道確保要領</w:t>
            </w:r>
          </w:p>
        </w:tc>
        <w:tc>
          <w:tcPr>
            <w:tcW w:w="1136" w:type="dxa"/>
            <w:vMerge w:val="continue"/>
            <w:vAlign w:val="center"/>
          </w:tcPr>
          <w:p>
            <w:pPr>
              <w:pStyle w:val="0"/>
              <w:rPr>
                <w:rFonts w:hint="default"/>
              </w:rPr>
            </w:pPr>
          </w:p>
        </w:tc>
      </w:tr>
      <w:tr>
        <w:trPr>
          <w:trHeight w:val="393"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口対口（口鼻）人工呼吸法</w:t>
            </w:r>
          </w:p>
        </w:tc>
        <w:tc>
          <w:tcPr>
            <w:tcW w:w="1136" w:type="dxa"/>
            <w:vMerge w:val="continue"/>
            <w:vAlign w:val="center"/>
          </w:tcPr>
          <w:p>
            <w:pPr>
              <w:pStyle w:val="0"/>
              <w:rPr>
                <w:rFonts w:hint="default"/>
              </w:rPr>
            </w:pPr>
          </w:p>
        </w:tc>
      </w:tr>
      <w:tr>
        <w:trPr>
          <w:trHeight w:val="393"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シナリオに対応した心肺蘇生法</w:t>
            </w:r>
          </w:p>
        </w:tc>
        <w:tc>
          <w:tcPr>
            <w:tcW w:w="1136" w:type="dxa"/>
            <w:vMerge w:val="continue"/>
            <w:vAlign w:val="center"/>
          </w:tcPr>
          <w:p>
            <w:pPr>
              <w:pStyle w:val="0"/>
              <w:rPr>
                <w:rFonts w:hint="default"/>
              </w:rPr>
            </w:pPr>
          </w:p>
        </w:tc>
      </w:tr>
      <w:tr>
        <w:trPr>
          <w:trHeight w:val="420"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restart"/>
            <w:vAlign w:val="center"/>
          </w:tcPr>
          <w:p>
            <w:pPr>
              <w:pStyle w:val="0"/>
              <w:rPr>
                <w:rFonts w:hint="default"/>
              </w:rPr>
            </w:pPr>
            <w:r>
              <w:rPr>
                <w:rFonts w:hint="eastAsia"/>
              </w:rPr>
              <w:t>AED</w:t>
            </w:r>
            <w:r>
              <w:rPr>
                <w:rFonts w:hint="eastAsia"/>
              </w:rPr>
              <w:t>の使用法</w:t>
            </w:r>
          </w:p>
        </w:tc>
        <w:tc>
          <w:tcPr>
            <w:tcW w:w="3825" w:type="dxa"/>
            <w:vAlign w:val="center"/>
          </w:tcPr>
          <w:p>
            <w:pPr>
              <w:pStyle w:val="0"/>
              <w:rPr>
                <w:rFonts w:hint="default"/>
              </w:rPr>
            </w:pPr>
            <w:r>
              <w:rPr>
                <w:rFonts w:hint="eastAsia"/>
              </w:rPr>
              <w:t>AED</w:t>
            </w:r>
            <w:r>
              <w:rPr>
                <w:rFonts w:hint="eastAsia"/>
              </w:rPr>
              <w:t>の使用方法</w:t>
            </w:r>
          </w:p>
        </w:tc>
        <w:tc>
          <w:tcPr>
            <w:tcW w:w="1136" w:type="dxa"/>
            <w:vMerge w:val="continue"/>
            <w:vAlign w:val="center"/>
          </w:tcPr>
          <w:p>
            <w:pPr>
              <w:pStyle w:val="0"/>
              <w:rPr>
                <w:rFonts w:hint="default"/>
              </w:rPr>
            </w:pPr>
          </w:p>
        </w:tc>
      </w:tr>
      <w:tr>
        <w:trPr>
          <w:trHeight w:val="408"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指導者による使用法の呈示</w:t>
            </w:r>
          </w:p>
        </w:tc>
        <w:tc>
          <w:tcPr>
            <w:tcW w:w="1136" w:type="dxa"/>
            <w:vMerge w:val="continue"/>
            <w:vAlign w:val="center"/>
          </w:tcPr>
          <w:p>
            <w:pPr>
              <w:pStyle w:val="0"/>
              <w:rPr>
                <w:rFonts w:hint="default"/>
              </w:rPr>
            </w:pPr>
          </w:p>
        </w:tc>
      </w:tr>
      <w:tr>
        <w:trPr>
          <w:trHeight w:val="444"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Merge w:val="continue"/>
            <w:vAlign w:val="center"/>
          </w:tcPr>
          <w:p>
            <w:pPr>
              <w:pStyle w:val="0"/>
              <w:rPr>
                <w:rFonts w:hint="default"/>
              </w:rPr>
            </w:pPr>
          </w:p>
        </w:tc>
        <w:tc>
          <w:tcPr>
            <w:tcW w:w="3825" w:type="dxa"/>
            <w:vAlign w:val="center"/>
          </w:tcPr>
          <w:p>
            <w:pPr>
              <w:pStyle w:val="0"/>
              <w:rPr>
                <w:rFonts w:hint="default"/>
              </w:rPr>
            </w:pPr>
            <w:r>
              <w:rPr>
                <w:rFonts w:hint="eastAsia"/>
              </w:rPr>
              <w:t>AED</w:t>
            </w:r>
            <w:r>
              <w:rPr>
                <w:rFonts w:hint="eastAsia"/>
              </w:rPr>
              <w:t>の実技要領</w:t>
            </w:r>
          </w:p>
        </w:tc>
        <w:tc>
          <w:tcPr>
            <w:tcW w:w="1136" w:type="dxa"/>
            <w:vMerge w:val="continue"/>
            <w:vAlign w:val="center"/>
          </w:tcPr>
          <w:p>
            <w:pPr>
              <w:pStyle w:val="0"/>
              <w:rPr>
                <w:rFonts w:hint="default"/>
              </w:rPr>
            </w:pPr>
          </w:p>
        </w:tc>
      </w:tr>
      <w:tr>
        <w:trPr>
          <w:trHeight w:val="432"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Align w:val="center"/>
          </w:tcPr>
          <w:p>
            <w:pPr>
              <w:pStyle w:val="0"/>
              <w:rPr>
                <w:rFonts w:hint="default"/>
              </w:rPr>
            </w:pPr>
            <w:r>
              <w:rPr>
                <w:rFonts w:hint="eastAsia"/>
              </w:rPr>
              <w:t>異物除去法</w:t>
            </w:r>
          </w:p>
        </w:tc>
        <w:tc>
          <w:tcPr>
            <w:tcW w:w="3825" w:type="dxa"/>
            <w:vAlign w:val="center"/>
          </w:tcPr>
          <w:p>
            <w:pPr>
              <w:pStyle w:val="0"/>
              <w:rPr>
                <w:rFonts w:hint="default"/>
              </w:rPr>
            </w:pPr>
            <w:r>
              <w:rPr>
                <w:rFonts w:hint="eastAsia"/>
              </w:rPr>
              <w:t>異物除去要領</w:t>
            </w:r>
          </w:p>
        </w:tc>
        <w:tc>
          <w:tcPr>
            <w:tcW w:w="1136" w:type="dxa"/>
            <w:vMerge w:val="continue"/>
            <w:vAlign w:val="center"/>
          </w:tcPr>
          <w:p>
            <w:pPr>
              <w:pStyle w:val="0"/>
              <w:rPr>
                <w:rFonts w:hint="default"/>
              </w:rPr>
            </w:pPr>
          </w:p>
        </w:tc>
      </w:tr>
      <w:tr>
        <w:trPr>
          <w:trHeight w:val="472" w:hRule="atLeast"/>
        </w:trPr>
        <w:tc>
          <w:tcPr>
            <w:tcW w:w="1413" w:type="dxa"/>
            <w:vMerge w:val="continue"/>
            <w:vAlign w:val="center"/>
          </w:tcPr>
          <w:p>
            <w:pPr>
              <w:pStyle w:val="0"/>
              <w:rPr>
                <w:rFonts w:hint="default"/>
              </w:rPr>
            </w:pPr>
          </w:p>
        </w:tc>
        <w:tc>
          <w:tcPr>
            <w:tcW w:w="992" w:type="dxa"/>
            <w:vMerge w:val="continue"/>
            <w:vAlign w:val="center"/>
          </w:tcPr>
          <w:p>
            <w:pPr>
              <w:pStyle w:val="0"/>
              <w:rPr>
                <w:rFonts w:hint="default"/>
              </w:rPr>
            </w:pPr>
          </w:p>
        </w:tc>
        <w:tc>
          <w:tcPr>
            <w:tcW w:w="1418" w:type="dxa"/>
            <w:vAlign w:val="center"/>
          </w:tcPr>
          <w:p>
            <w:pPr>
              <w:pStyle w:val="0"/>
              <w:rPr>
                <w:rFonts w:hint="default"/>
              </w:rPr>
            </w:pPr>
            <w:r>
              <w:rPr>
                <w:rFonts w:hint="eastAsia"/>
              </w:rPr>
              <w:t>効果確認</w:t>
            </w:r>
          </w:p>
        </w:tc>
        <w:tc>
          <w:tcPr>
            <w:tcW w:w="3825" w:type="dxa"/>
            <w:vAlign w:val="center"/>
          </w:tcPr>
          <w:p>
            <w:pPr>
              <w:pStyle w:val="0"/>
              <w:rPr>
                <w:rFonts w:hint="default"/>
              </w:rPr>
            </w:pPr>
            <w:r>
              <w:rPr>
                <w:rFonts w:hint="eastAsia"/>
              </w:rPr>
              <w:t>心肺蘇生法の効果確認</w:t>
            </w:r>
          </w:p>
        </w:tc>
        <w:tc>
          <w:tcPr>
            <w:tcW w:w="1136" w:type="dxa"/>
            <w:vMerge w:val="continue"/>
            <w:vAlign w:val="center"/>
          </w:tcPr>
          <w:p>
            <w:pPr>
              <w:pStyle w:val="0"/>
              <w:rPr>
                <w:rFonts w:hint="default"/>
              </w:rPr>
            </w:pPr>
          </w:p>
        </w:tc>
      </w:tr>
      <w:tr>
        <w:trPr>
          <w:trHeight w:val="449" w:hRule="atLeast"/>
        </w:trPr>
        <w:tc>
          <w:tcPr>
            <w:tcW w:w="1413" w:type="dxa"/>
            <w:vMerge w:val="continue"/>
            <w:vAlign w:val="center"/>
          </w:tcPr>
          <w:p>
            <w:pPr>
              <w:pStyle w:val="0"/>
              <w:rPr>
                <w:rFonts w:hint="default"/>
              </w:rPr>
            </w:pPr>
          </w:p>
        </w:tc>
        <w:tc>
          <w:tcPr>
            <w:tcW w:w="2410" w:type="dxa"/>
            <w:gridSpan w:val="2"/>
            <w:vAlign w:val="center"/>
          </w:tcPr>
          <w:p>
            <w:pPr>
              <w:pStyle w:val="0"/>
              <w:rPr>
                <w:rFonts w:hint="default"/>
              </w:rPr>
            </w:pPr>
            <w:r>
              <w:rPr>
                <w:rFonts w:hint="eastAsia"/>
              </w:rPr>
              <w:t>止血法</w:t>
            </w:r>
          </w:p>
        </w:tc>
        <w:tc>
          <w:tcPr>
            <w:tcW w:w="3825" w:type="dxa"/>
            <w:vAlign w:val="center"/>
          </w:tcPr>
          <w:p>
            <w:pPr>
              <w:pStyle w:val="0"/>
              <w:rPr>
                <w:rFonts w:hint="default"/>
              </w:rPr>
            </w:pPr>
            <w:r>
              <w:rPr>
                <w:rFonts w:hint="eastAsia"/>
              </w:rPr>
              <w:t>直接圧迫止血法</w:t>
            </w:r>
          </w:p>
        </w:tc>
        <w:tc>
          <w:tcPr>
            <w:tcW w:w="1136" w:type="dxa"/>
            <w:vMerge w:val="continue"/>
            <w:vAlign w:val="center"/>
          </w:tcPr>
          <w:p>
            <w:pPr>
              <w:pStyle w:val="0"/>
              <w:rPr>
                <w:rFonts w:hint="default"/>
              </w:rPr>
            </w:pPr>
          </w:p>
        </w:tc>
      </w:tr>
      <w:tr>
        <w:trPr>
          <w:trHeight w:val="456" w:hRule="atLeast"/>
        </w:trPr>
        <w:tc>
          <w:tcPr>
            <w:tcW w:w="1413" w:type="dxa"/>
            <w:vMerge w:val="continue"/>
            <w:vAlign w:val="center"/>
          </w:tcPr>
          <w:p>
            <w:pPr>
              <w:pStyle w:val="0"/>
              <w:rPr>
                <w:rFonts w:hint="default"/>
              </w:rPr>
            </w:pPr>
          </w:p>
        </w:tc>
        <w:tc>
          <w:tcPr>
            <w:tcW w:w="2410" w:type="dxa"/>
            <w:gridSpan w:val="2"/>
            <w:vAlign w:val="center"/>
          </w:tcPr>
          <w:p>
            <w:pPr>
              <w:pStyle w:val="0"/>
              <w:rPr>
                <w:rFonts w:hint="default"/>
              </w:rPr>
            </w:pPr>
            <w:r>
              <w:rPr>
                <w:rFonts w:hint="eastAsia"/>
              </w:rPr>
              <w:t>心肺蘇生法に関する知識の確認（筆記試験）</w:t>
            </w:r>
          </w:p>
        </w:tc>
        <w:tc>
          <w:tcPr>
            <w:tcW w:w="3825" w:type="dxa"/>
            <w:vAlign w:val="center"/>
          </w:tcPr>
          <w:p>
            <w:pPr>
              <w:pStyle w:val="0"/>
              <w:rPr>
                <w:rFonts w:hint="default"/>
              </w:rPr>
            </w:pPr>
            <w:r>
              <w:rPr>
                <w:rFonts w:hint="eastAsia"/>
              </w:rPr>
              <w:t>知識の確認</w:t>
            </w:r>
          </w:p>
        </w:tc>
        <w:tc>
          <w:tcPr>
            <w:tcW w:w="1136" w:type="dxa"/>
            <w:vMerge w:val="restart"/>
            <w:vAlign w:val="center"/>
          </w:tcPr>
          <w:p>
            <w:pPr>
              <w:pStyle w:val="0"/>
              <w:jc w:val="center"/>
              <w:rPr>
                <w:rFonts w:hint="default"/>
              </w:rPr>
            </w:pPr>
            <w:r>
              <w:rPr>
                <w:rFonts w:hint="eastAsia"/>
              </w:rPr>
              <w:t>60</w:t>
            </w:r>
          </w:p>
        </w:tc>
      </w:tr>
      <w:tr>
        <w:trPr>
          <w:trHeight w:val="485" w:hRule="atLeast"/>
        </w:trPr>
        <w:tc>
          <w:tcPr>
            <w:tcW w:w="1413" w:type="dxa"/>
            <w:vMerge w:val="continue"/>
            <w:vAlign w:val="center"/>
          </w:tcPr>
          <w:p>
            <w:pPr>
              <w:pStyle w:val="0"/>
              <w:rPr>
                <w:rFonts w:hint="default"/>
              </w:rPr>
            </w:pPr>
          </w:p>
        </w:tc>
        <w:tc>
          <w:tcPr>
            <w:tcW w:w="2410" w:type="dxa"/>
            <w:gridSpan w:val="2"/>
            <w:vAlign w:val="center"/>
          </w:tcPr>
          <w:p>
            <w:pPr>
              <w:pStyle w:val="0"/>
              <w:rPr>
                <w:rFonts w:hint="default"/>
              </w:rPr>
            </w:pPr>
            <w:r>
              <w:rPr>
                <w:rFonts w:hint="eastAsia"/>
              </w:rPr>
              <w:t>心肺蘇生法に関する実技の評価（実技試験）</w:t>
            </w:r>
          </w:p>
        </w:tc>
        <w:tc>
          <w:tcPr>
            <w:tcW w:w="3825" w:type="dxa"/>
            <w:vAlign w:val="center"/>
          </w:tcPr>
          <w:p>
            <w:pPr>
              <w:pStyle w:val="0"/>
              <w:rPr>
                <w:rFonts w:hint="default"/>
              </w:rPr>
            </w:pPr>
            <w:r>
              <w:rPr>
                <w:rFonts w:hint="eastAsia"/>
              </w:rPr>
              <w:t>シナリオを使用した実技の評価</w:t>
            </w:r>
          </w:p>
        </w:tc>
        <w:tc>
          <w:tcPr>
            <w:tcW w:w="1136" w:type="dxa"/>
            <w:vMerge w:val="continue"/>
            <w:vAlign w:val="center"/>
          </w:tcPr>
          <w:p>
            <w:pPr>
              <w:pStyle w:val="0"/>
              <w:rPr>
                <w:rFonts w:hint="default"/>
              </w:rPr>
            </w:pPr>
          </w:p>
        </w:tc>
      </w:tr>
      <w:tr>
        <w:trPr>
          <w:trHeight w:val="602" w:hRule="atLeast"/>
        </w:trPr>
        <w:tc>
          <w:tcPr>
            <w:tcW w:w="7648" w:type="dxa"/>
            <w:gridSpan w:val="4"/>
            <w:vAlign w:val="center"/>
          </w:tcPr>
          <w:p>
            <w:pPr>
              <w:pStyle w:val="0"/>
              <w:jc w:val="center"/>
              <w:rPr>
                <w:rFonts w:hint="default"/>
              </w:rPr>
            </w:pPr>
            <w:r>
              <w:rPr>
                <w:rFonts w:hint="eastAsia"/>
              </w:rPr>
              <w:t>合　計　時　間</w:t>
            </w:r>
          </w:p>
        </w:tc>
        <w:tc>
          <w:tcPr>
            <w:tcW w:w="1136" w:type="dxa"/>
            <w:vAlign w:val="center"/>
          </w:tcPr>
          <w:p>
            <w:pPr>
              <w:pStyle w:val="0"/>
              <w:jc w:val="center"/>
              <w:rPr>
                <w:rFonts w:hint="default"/>
              </w:rPr>
            </w:pPr>
            <w:r>
              <w:rPr>
                <w:rFonts w:hint="eastAsia"/>
              </w:rPr>
              <w:t>240</w:t>
            </w:r>
            <w:bookmarkStart w:id="0" w:name="_GoBack"/>
            <w:bookmarkEnd w:id="0"/>
          </w:p>
        </w:tc>
      </w:tr>
    </w:tbl>
    <w:p>
      <w:pPr>
        <w:pStyle w:val="0"/>
        <w:rPr>
          <w:rFonts w:hint="default"/>
        </w:rPr>
      </w:pPr>
    </w:p>
    <w:tbl>
      <w:tblPr>
        <w:tblStyle w:val="21"/>
        <w:tblW w:w="8784" w:type="dxa"/>
        <w:tblInd w:w="0" w:type="dxa"/>
        <w:tblLayout w:type="fixed"/>
        <w:tblLook w:firstRow="1" w:lastRow="0" w:firstColumn="1" w:lastColumn="0" w:noHBand="0" w:noVBand="1" w:val="04A0"/>
      </w:tblPr>
      <w:tblGrid>
        <w:gridCol w:w="988"/>
        <w:gridCol w:w="7796"/>
      </w:tblGrid>
      <w:tr>
        <w:trPr>
          <w:trHeight w:val="1796" w:hRule="atLeast"/>
        </w:trPr>
        <w:tc>
          <w:tcPr>
            <w:tcW w:w="988" w:type="dxa"/>
            <w:vAlign w:val="center"/>
          </w:tcPr>
          <w:p>
            <w:pPr>
              <w:pStyle w:val="0"/>
              <w:jc w:val="center"/>
              <w:rPr>
                <w:rFonts w:hint="default"/>
              </w:rPr>
            </w:pPr>
            <w:r>
              <w:rPr>
                <w:rFonts w:hint="eastAsia"/>
              </w:rPr>
              <w:t>備　考</w:t>
            </w:r>
          </w:p>
        </w:tc>
        <w:tc>
          <w:tcPr>
            <w:tcW w:w="7796" w:type="dxa"/>
            <w:vAlign w:val="center"/>
          </w:tcPr>
          <w:p>
            <w:pPr>
              <w:pStyle w:val="0"/>
              <w:rPr>
                <w:rFonts w:hint="default"/>
              </w:rPr>
            </w:pPr>
            <w:r>
              <w:rPr>
                <w:rFonts w:hint="eastAsia"/>
              </w:rPr>
              <w:t>１　普通救命講習Ⅱは、業務の内容や活動領域の性格から一定の頻度で心停止者に対して応急の対応をすることが期待される者を対象とする。</w:t>
            </w:r>
          </w:p>
          <w:p>
            <w:pPr>
              <w:pStyle w:val="0"/>
              <w:rPr>
                <w:rFonts w:hint="default"/>
              </w:rPr>
            </w:pPr>
            <w:r>
              <w:rPr>
                <w:rFonts w:hint="eastAsia"/>
              </w:rPr>
              <w:t>２　筆記試験及び実技試験については、客観的評価を行い、原則として</w:t>
            </w:r>
            <w:r>
              <w:rPr>
                <w:rFonts w:hint="eastAsia"/>
              </w:rPr>
              <w:t>80</w:t>
            </w:r>
            <w:r>
              <w:rPr>
                <w:rFonts w:hint="eastAsia"/>
              </w:rPr>
              <w:t>％以上を理解できたことを合格の目安とする。</w:t>
            </w:r>
          </w:p>
          <w:p>
            <w:pPr>
              <w:pStyle w:val="0"/>
              <w:rPr>
                <w:rFonts w:hint="default"/>
              </w:rPr>
            </w:pPr>
            <w:r>
              <w:rPr>
                <w:rFonts w:hint="eastAsia"/>
              </w:rPr>
              <w:t>３　</w:t>
            </w:r>
            <w:r>
              <w:rPr>
                <w:rFonts w:hint="eastAsia"/>
              </w:rPr>
              <w:t>2</w:t>
            </w:r>
            <w:r>
              <w:rPr>
                <w:rFonts w:hint="eastAsia"/>
              </w:rPr>
              <w:t>年から</w:t>
            </w:r>
            <w:r>
              <w:rPr>
                <w:rFonts w:hint="eastAsia"/>
              </w:rPr>
              <w:t>3</w:t>
            </w:r>
            <w:r>
              <w:rPr>
                <w:rFonts w:hint="eastAsia"/>
              </w:rPr>
              <w:t>年間隔での定期的な再講習を行うこと。</w:t>
            </w:r>
          </w:p>
        </w:tc>
      </w:tr>
    </w:tbl>
    <w:p>
      <w:pPr>
        <w:pStyle w:val="0"/>
        <w:rPr>
          <w:rFonts w:hint="default"/>
        </w:rPr>
      </w:pPr>
    </w:p>
    <w:sectPr>
      <w:pgSz w:w="11906" w:h="16838"/>
      <w:pgMar w:top="1931" w:right="1701" w:bottom="51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97</Words>
  <Characters>556</Characters>
  <Application>JUST Note</Application>
  <Lines>4</Lines>
  <Paragraphs>1</Paragraphs>
  <Company>長野市役所</Company>
  <CharactersWithSpaces>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雪入　誠司</dc:creator>
  <cp:lastModifiedBy>雪入　誠司</cp:lastModifiedBy>
  <cp:lastPrinted>2024-10-30T01:03:00Z</cp:lastPrinted>
  <dcterms:created xsi:type="dcterms:W3CDTF">2024-10-30T00:54:00Z</dcterms:created>
  <dcterms:modified xsi:type="dcterms:W3CDTF">2024-11-15T06:46:27Z</dcterms:modified>
  <cp:revision>5</cp:revision>
</cp:coreProperties>
</file>