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説明事項に関するチェックリスト</w:t>
      </w:r>
    </w:p>
    <w:p>
      <w:pPr>
        <w:pStyle w:val="0"/>
        <w:jc w:val="left"/>
        <w:rPr>
          <w:rFonts w:hint="default" w:asciiTheme="majorEastAsia" w:hAnsiTheme="majorEastAsia" w:eastAsiaTheme="majorEastAsia"/>
        </w:rPr>
      </w:pPr>
    </w:p>
    <w:tbl>
      <w:tblPr>
        <w:tblStyle w:val="21"/>
        <w:tblW w:w="8494" w:type="dxa"/>
        <w:tblInd w:w="0" w:type="dxa"/>
        <w:tblLayout w:type="fixed"/>
        <w:tblLook w:firstRow="1" w:lastRow="0" w:firstColumn="1" w:lastColumn="0" w:noHBand="0" w:noVBand="1" w:val="04A0"/>
      </w:tblPr>
      <w:tblGrid>
        <w:gridCol w:w="704"/>
        <w:gridCol w:w="7790"/>
      </w:tblGrid>
      <w:tr>
        <w:trPr/>
        <w:tc>
          <w:tcPr>
            <w:tcW w:w="70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480" w:lineRule="auto"/>
              <w:rPr>
                <w:rFonts w:hint="default" w:asciiTheme="majorEastAsia" w:hAnsiTheme="majorEastAsia" w:eastAsiaTheme="majorEastAsia"/>
              </w:rPr>
            </w:pPr>
            <w:r>
              <w:rPr>
                <w:rFonts w:hint="eastAsia" w:asciiTheme="majorEastAsia" w:hAnsiTheme="majorEastAsia" w:eastAsiaTheme="majorEastAsia"/>
              </w:rPr>
              <w:t>欄</w:t>
            </w:r>
          </w:p>
        </w:tc>
        <w:tc>
          <w:tcPr>
            <w:tcW w:w="779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480" w:lineRule="auto"/>
              <w:rPr>
                <w:rFonts w:hint="default" w:asciiTheme="majorEastAsia" w:hAnsiTheme="majorEastAsia" w:eastAsiaTheme="majorEastAsia"/>
              </w:rPr>
            </w:pPr>
            <w:r>
              <w:rPr>
                <w:rFonts w:hint="eastAsia" w:asciiTheme="majorEastAsia" w:hAnsiTheme="majorEastAsia" w:eastAsiaTheme="majorEastAsia"/>
              </w:rPr>
              <w:t>説明事項</w:t>
            </w:r>
          </w:p>
        </w:tc>
      </w:tr>
      <w:tr>
        <w:trPr/>
        <w:tc>
          <w:tcPr>
            <w:tcW w:w="7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600" w:lineRule="auto"/>
              <w:rPr>
                <w:rFonts w:hint="default" w:asciiTheme="majorEastAsia" w:hAnsiTheme="majorEastAsia" w:eastAsiaTheme="majorEastAsia"/>
              </w:rPr>
            </w:pPr>
            <w:r>
              <w:rPr>
                <w:rFonts w:hint="eastAsia" w:asciiTheme="majorEastAsia" w:hAnsiTheme="majorEastAsia" w:eastAsiaTheme="majorEastAsia"/>
              </w:rPr>
              <w:t>□</w:t>
            </w:r>
          </w:p>
        </w:tc>
        <w:tc>
          <w:tcPr>
            <w:tcW w:w="779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600" w:lineRule="auto"/>
              <w:rPr>
                <w:rFonts w:hint="default" w:asciiTheme="majorEastAsia" w:hAnsiTheme="majorEastAsia" w:eastAsiaTheme="majorEastAsia"/>
              </w:rPr>
            </w:pPr>
            <w:r>
              <w:rPr>
                <w:rFonts w:hint="eastAsia" w:asciiTheme="majorEastAsia" w:hAnsiTheme="majorEastAsia" w:eastAsiaTheme="majorEastAsia"/>
              </w:rPr>
              <w:t>１　特定事業の趣旨及び事業計画の内容</w:t>
            </w:r>
          </w:p>
        </w:tc>
      </w:tr>
      <w:tr>
        <w:trPr/>
        <w:tc>
          <w:tcPr>
            <w:tcW w:w="704" w:type="dxa"/>
            <w:vMerge w:val="restart"/>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w:t>
            </w:r>
          </w:p>
        </w:tc>
        <w:tc>
          <w:tcPr>
            <w:tcW w:w="7790"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２　事業区域の周辺環境に及ぼす影響及びその対策</w:t>
            </w:r>
          </w:p>
          <w:p>
            <w:pPr>
              <w:pStyle w:val="0"/>
              <w:rPr>
                <w:rFonts w:hint="default" w:asciiTheme="majorEastAsia" w:hAnsiTheme="majorEastAsia" w:eastAsiaTheme="majorEastAsia"/>
              </w:rPr>
            </w:pPr>
            <w:r>
              <w:rPr>
                <w:rFonts w:hint="eastAsia" w:asciiTheme="majorEastAsia" w:hAnsiTheme="majorEastAsia" w:eastAsiaTheme="majorEastAsia"/>
              </w:rPr>
              <w:t>※設備の規模や設置場所に応じて、必要事項に関する説明を実施してください。</w:t>
            </w:r>
          </w:p>
        </w:tc>
      </w:tr>
      <w:tr>
        <w:trPr/>
        <w:tc>
          <w:tcPr>
            <w:tcW w:w="704" w:type="dxa"/>
            <w:vMerge w:val="continue"/>
            <w:vAlign w:val="top"/>
          </w:tcPr>
          <w:p>
            <w:pPr>
              <w:pStyle w:val="0"/>
              <w:rPr>
                <w:rFonts w:hint="default" w:asciiTheme="majorEastAsia" w:hAnsiTheme="majorEastAsia" w:eastAsiaTheme="majorEastAsia"/>
              </w:rPr>
            </w:pPr>
          </w:p>
        </w:tc>
        <w:tc>
          <w:tcPr>
            <w:tcW w:w="7790" w:type="dxa"/>
            <w:vAlign w:val="top"/>
          </w:tcPr>
          <w:p>
            <w:pPr>
              <w:pStyle w:val="0"/>
              <w:rPr>
                <w:rFonts w:hint="default" w:asciiTheme="majorEastAsia" w:hAnsiTheme="majorEastAsia" w:eastAsiaTheme="majorEastAsia"/>
              </w:rPr>
            </w:pPr>
            <w:r>
              <w:rPr>
                <w:rFonts w:hint="default" w:asciiTheme="majorEastAsia" w:hAnsiTheme="majorEastAsia" w:eastAsiaTheme="majorEastAsia"/>
              </w:rPr>
              <w:t xml:space="preserve">(1) </w:t>
            </w:r>
            <w:r>
              <w:rPr>
                <w:rFonts w:hint="eastAsia" w:asciiTheme="majorEastAsia" w:hAnsiTheme="majorEastAsia" w:eastAsiaTheme="majorEastAsia"/>
              </w:rPr>
              <w:t>反射光・騒音について</w:t>
            </w:r>
          </w:p>
          <w:p>
            <w:pPr>
              <w:pStyle w:val="0"/>
              <w:rPr>
                <w:rFonts w:hint="default" w:asciiTheme="majorEastAsia" w:hAnsiTheme="majorEastAsia" w:eastAsiaTheme="majorEastAsia"/>
              </w:rPr>
            </w:pPr>
            <w:r>
              <w:rPr>
                <w:rFonts w:hint="eastAsia" w:asciiTheme="majorEastAsia" w:hAnsiTheme="majorEastAsia" w:eastAsiaTheme="majorEastAsia"/>
              </w:rPr>
              <w:t>※住宅・農地等に近接して設置する場合等においては、特に配慮してください。</w:t>
            </w:r>
          </w:p>
        </w:tc>
      </w:tr>
      <w:tr>
        <w:trPr/>
        <w:tc>
          <w:tcPr>
            <w:tcW w:w="704" w:type="dxa"/>
            <w:vMerge w:val="continue"/>
            <w:vAlign w:val="top"/>
          </w:tcPr>
          <w:p>
            <w:pPr>
              <w:pStyle w:val="0"/>
              <w:rPr>
                <w:rFonts w:hint="default" w:asciiTheme="majorEastAsia" w:hAnsiTheme="majorEastAsia" w:eastAsiaTheme="majorEastAsia"/>
              </w:rPr>
            </w:pPr>
          </w:p>
        </w:tc>
        <w:tc>
          <w:tcPr>
            <w:tcW w:w="7790"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2</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景観について</w:t>
            </w:r>
          </w:p>
          <w:p>
            <w:pPr>
              <w:pStyle w:val="0"/>
              <w:rPr>
                <w:rFonts w:hint="default" w:asciiTheme="majorEastAsia" w:hAnsiTheme="majorEastAsia" w:eastAsiaTheme="majorEastAsia"/>
              </w:rPr>
            </w:pPr>
            <w:r>
              <w:rPr>
                <w:rFonts w:hint="eastAsia" w:asciiTheme="majorEastAsia" w:hAnsiTheme="majorEastAsia" w:eastAsiaTheme="majorEastAsia"/>
              </w:rPr>
              <w:t>※大規模な計画や住宅等に近接して設置する場合等においては、特に配慮してください。</w:t>
            </w:r>
          </w:p>
        </w:tc>
      </w:tr>
      <w:tr>
        <w:trPr/>
        <w:tc>
          <w:tcPr>
            <w:tcW w:w="704" w:type="dxa"/>
            <w:vMerge w:val="continue"/>
            <w:vAlign w:val="top"/>
          </w:tcPr>
          <w:p>
            <w:pPr>
              <w:pStyle w:val="0"/>
              <w:rPr>
                <w:rFonts w:hint="default" w:asciiTheme="majorEastAsia" w:hAnsiTheme="majorEastAsia" w:eastAsiaTheme="majorEastAsia"/>
              </w:rPr>
            </w:pPr>
          </w:p>
        </w:tc>
        <w:tc>
          <w:tcPr>
            <w:tcW w:w="7790"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3</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雨水・土砂等の流出について</w:t>
            </w:r>
          </w:p>
          <w:p>
            <w:pPr>
              <w:pStyle w:val="0"/>
              <w:rPr>
                <w:rFonts w:hint="default" w:asciiTheme="majorEastAsia" w:hAnsiTheme="majorEastAsia" w:eastAsiaTheme="majorEastAsia"/>
              </w:rPr>
            </w:pPr>
            <w:r>
              <w:rPr>
                <w:rFonts w:hint="eastAsia" w:asciiTheme="majorEastAsia" w:hAnsiTheme="majorEastAsia" w:eastAsiaTheme="majorEastAsia"/>
              </w:rPr>
              <w:t>※新たに土地の造成を行う場合や伐採や伐根により雨水等の流出を防ぐ植栽等がない斜面に設置する場合等においては、特に配慮してください。</w:t>
            </w:r>
          </w:p>
        </w:tc>
      </w:tr>
      <w:tr>
        <w:trPr/>
        <w:tc>
          <w:tcPr>
            <w:tcW w:w="704" w:type="dxa"/>
            <w:vMerge w:val="continue"/>
            <w:vAlign w:val="top"/>
          </w:tcPr>
          <w:p>
            <w:pPr>
              <w:pStyle w:val="0"/>
              <w:spacing w:line="600" w:lineRule="auto"/>
              <w:rPr>
                <w:rFonts w:hint="default" w:asciiTheme="majorEastAsia" w:hAnsiTheme="majorEastAsia" w:eastAsiaTheme="majorEastAsia"/>
              </w:rPr>
            </w:pPr>
          </w:p>
        </w:tc>
        <w:tc>
          <w:tcPr>
            <w:tcW w:w="7790" w:type="dxa"/>
            <w:vAlign w:val="top"/>
          </w:tcPr>
          <w:p>
            <w:pPr>
              <w:pStyle w:val="0"/>
              <w:spacing w:line="480" w:lineRule="auto"/>
              <w:rPr>
                <w:rFonts w:hint="default" w:asciiTheme="majorEastAsia" w:hAnsiTheme="majorEastAsia" w:eastAsiaTheme="majorEastAsia"/>
              </w:rPr>
            </w:pPr>
            <w:r>
              <w:rPr>
                <w:rFonts w:hint="default" w:asciiTheme="majorEastAsia" w:hAnsiTheme="majorEastAsia" w:eastAsiaTheme="majorEastAsia"/>
              </w:rPr>
              <w:t>(4)</w:t>
            </w:r>
            <w:r>
              <w:rPr>
                <w:rFonts w:hint="eastAsia" w:asciiTheme="majorEastAsia" w:hAnsiTheme="majorEastAsia" w:eastAsiaTheme="majorEastAsia"/>
              </w:rPr>
              <w:t xml:space="preserve"> </w:t>
            </w:r>
            <w:r>
              <w:rPr>
                <w:rFonts w:hint="eastAsia" w:asciiTheme="majorEastAsia" w:hAnsiTheme="majorEastAsia" w:eastAsiaTheme="majorEastAsia"/>
              </w:rPr>
              <w:t>その他想定される影響について</w:t>
            </w:r>
          </w:p>
        </w:tc>
      </w:tr>
      <w:tr>
        <w:trPr/>
        <w:tc>
          <w:tcPr>
            <w:tcW w:w="704" w:type="dxa"/>
            <w:vMerge w:val="restart"/>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w:t>
            </w:r>
          </w:p>
        </w:tc>
        <w:tc>
          <w:tcPr>
            <w:tcW w:w="7790" w:type="dxa"/>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３　安全対策及び防災措置</w:t>
            </w:r>
          </w:p>
        </w:tc>
      </w:tr>
      <w:tr>
        <w:trPr/>
        <w:tc>
          <w:tcPr>
            <w:tcW w:w="704" w:type="dxa"/>
            <w:vMerge w:val="continue"/>
            <w:vAlign w:val="top"/>
          </w:tcPr>
          <w:p>
            <w:pPr>
              <w:pStyle w:val="0"/>
              <w:rPr>
                <w:rFonts w:hint="default" w:asciiTheme="majorEastAsia" w:hAnsiTheme="majorEastAsia" w:eastAsiaTheme="majorEastAsia"/>
              </w:rPr>
            </w:pPr>
          </w:p>
        </w:tc>
        <w:tc>
          <w:tcPr>
            <w:tcW w:w="7790"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1</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柵塀等の設置について</w:t>
            </w:r>
          </w:p>
          <w:p>
            <w:pPr>
              <w:pStyle w:val="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FIT</w:t>
            </w:r>
            <w:r>
              <w:rPr>
                <w:rFonts w:hint="eastAsia" w:asciiTheme="majorEastAsia" w:hAnsiTheme="majorEastAsia" w:eastAsiaTheme="majorEastAsia"/>
              </w:rPr>
              <w:t>法により、原則柵塀等の設置が義務付けられています。</w:t>
            </w:r>
          </w:p>
        </w:tc>
      </w:tr>
      <w:tr>
        <w:trPr/>
        <w:tc>
          <w:tcPr>
            <w:tcW w:w="704" w:type="dxa"/>
            <w:vMerge w:val="continue"/>
            <w:vAlign w:val="top"/>
          </w:tcPr>
          <w:p>
            <w:pPr>
              <w:pStyle w:val="0"/>
              <w:rPr>
                <w:rFonts w:hint="default" w:asciiTheme="majorEastAsia" w:hAnsiTheme="majorEastAsia" w:eastAsiaTheme="majorEastAsia"/>
              </w:rPr>
            </w:pPr>
          </w:p>
        </w:tc>
        <w:tc>
          <w:tcPr>
            <w:tcW w:w="7790"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2</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発電設備の設計について（支持物の荷重計算等）</w:t>
            </w:r>
          </w:p>
          <w:p>
            <w:pPr>
              <w:pStyle w:val="0"/>
              <w:rPr>
                <w:rFonts w:hint="default" w:asciiTheme="majorEastAsia" w:hAnsiTheme="majorEastAsia" w:eastAsiaTheme="majorEastAsia"/>
              </w:rPr>
            </w:pPr>
            <w:r>
              <w:rPr>
                <w:rFonts w:hint="eastAsia" w:asciiTheme="majorEastAsia" w:hAnsiTheme="majorEastAsia" w:eastAsiaTheme="majorEastAsia"/>
              </w:rPr>
              <w:t>※発電設備の規模に関わらず、全ての太陽光発電事業者に対し、電気事業法の技術基準への適合義務が課されています。</w:t>
            </w:r>
          </w:p>
        </w:tc>
      </w:tr>
      <w:tr>
        <w:trPr/>
        <w:tc>
          <w:tcPr>
            <w:tcW w:w="704" w:type="dxa"/>
            <w:vMerge w:val="continue"/>
            <w:vAlign w:val="top"/>
          </w:tcPr>
          <w:p>
            <w:pPr>
              <w:pStyle w:val="0"/>
              <w:rPr>
                <w:rFonts w:hint="default" w:asciiTheme="majorEastAsia" w:hAnsiTheme="majorEastAsia" w:eastAsiaTheme="majorEastAsia"/>
              </w:rPr>
            </w:pPr>
          </w:p>
        </w:tc>
        <w:tc>
          <w:tcPr>
            <w:tcW w:w="7790" w:type="dxa"/>
            <w:vAlign w:val="top"/>
          </w:tcPr>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3</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土地の安定性について（法令に基づく区域指定の有無、関係部署との協議結果、土地造成計画、排水計画、防災措置等）</w:t>
            </w:r>
          </w:p>
          <w:p>
            <w:pPr>
              <w:pStyle w:val="0"/>
              <w:rPr>
                <w:rFonts w:hint="default" w:asciiTheme="majorEastAsia" w:hAnsiTheme="majorEastAsia" w:eastAsiaTheme="majorEastAsia"/>
              </w:rPr>
            </w:pPr>
            <w:r>
              <w:rPr>
                <w:rFonts w:hint="eastAsia" w:asciiTheme="majorEastAsia" w:hAnsiTheme="majorEastAsia" w:eastAsiaTheme="majorEastAsia"/>
              </w:rPr>
              <w:t>※新たに土地の造成を行う場合や伐採や伐根を行った場合には、法面の崩壊や土砂崩落等の危険性が高まります。防災措置について、特に配慮してください。</w:t>
            </w:r>
          </w:p>
        </w:tc>
      </w:tr>
      <w:tr>
        <w:trPr/>
        <w:tc>
          <w:tcPr>
            <w:tcW w:w="704" w:type="dxa"/>
            <w:vMerge w:val="continue"/>
            <w:vAlign w:val="top"/>
          </w:tcPr>
          <w:p>
            <w:pPr>
              <w:pStyle w:val="0"/>
              <w:rPr>
                <w:rFonts w:hint="default" w:asciiTheme="majorEastAsia" w:hAnsiTheme="majorEastAsia" w:eastAsiaTheme="majorEastAsia"/>
              </w:rPr>
            </w:pPr>
          </w:p>
        </w:tc>
        <w:tc>
          <w:tcPr>
            <w:tcW w:w="7790" w:type="dxa"/>
            <w:vAlign w:val="top"/>
          </w:tcPr>
          <w:p>
            <w:pPr>
              <w:pStyle w:val="0"/>
              <w:spacing w:line="360" w:lineRule="auto"/>
              <w:ind w:left="210" w:hanging="210" w:hangingChars="10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4</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その他必要事項</w:t>
            </w:r>
          </w:p>
        </w:tc>
      </w:tr>
      <w:tr>
        <w:trPr/>
        <w:tc>
          <w:tcPr>
            <w:tcW w:w="704" w:type="dxa"/>
            <w:vMerge w:val="restart"/>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w:t>
            </w:r>
          </w:p>
        </w:tc>
        <w:tc>
          <w:tcPr>
            <w:tcW w:w="7790" w:type="dxa"/>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４　維持管理の方法及び非常時の対策</w:t>
            </w:r>
          </w:p>
        </w:tc>
      </w:tr>
      <w:tr>
        <w:trPr/>
        <w:tc>
          <w:tcPr>
            <w:tcW w:w="704" w:type="dxa"/>
            <w:vMerge w:val="continue"/>
            <w:vAlign w:val="top"/>
          </w:tcPr>
          <w:p>
            <w:pPr>
              <w:pStyle w:val="0"/>
              <w:ind w:left="420" w:hanging="420" w:hangingChars="200"/>
              <w:rPr>
                <w:rFonts w:hint="default" w:asciiTheme="majorEastAsia" w:hAnsiTheme="majorEastAsia" w:eastAsiaTheme="majorEastAsia"/>
              </w:rPr>
            </w:pPr>
          </w:p>
        </w:tc>
        <w:tc>
          <w:tcPr>
            <w:tcW w:w="7790" w:type="dxa"/>
            <w:vAlign w:val="top"/>
          </w:tcPr>
          <w:p>
            <w:pPr>
              <w:pStyle w:val="0"/>
              <w:ind w:left="210" w:hanging="210" w:hangingChars="100"/>
              <w:rPr>
                <w:rFonts w:hint="default" w:asciiTheme="majorEastAsia" w:hAnsiTheme="majorEastAsia" w:eastAsiaTheme="majorEastAsia"/>
              </w:rPr>
            </w:pPr>
            <w:r>
              <w:rPr>
                <w:rFonts w:hint="default" w:asciiTheme="majorEastAsia" w:hAnsiTheme="majorEastAsia" w:eastAsiaTheme="majorEastAsia"/>
              </w:rPr>
              <w:t>(1)</w:t>
            </w:r>
            <w:r>
              <w:rPr>
                <w:rFonts w:hint="eastAsia" w:asciiTheme="majorEastAsia" w:hAnsiTheme="majorEastAsia" w:eastAsiaTheme="majorEastAsia"/>
              </w:rPr>
              <w:t xml:space="preserve"> </w:t>
            </w:r>
            <w:r>
              <w:rPr>
                <w:rFonts w:hint="eastAsia" w:asciiTheme="majorEastAsia" w:hAnsiTheme="majorEastAsia" w:eastAsiaTheme="majorEastAsia"/>
              </w:rPr>
              <w:t>定期的な巡視や保守点検等による設備の維持管理について（頻度・方法・内容・点検業者等）</w:t>
            </w:r>
          </w:p>
        </w:tc>
      </w:tr>
      <w:tr>
        <w:trPr/>
        <w:tc>
          <w:tcPr>
            <w:tcW w:w="704" w:type="dxa"/>
            <w:vMerge w:val="continue"/>
            <w:vAlign w:val="top"/>
          </w:tcPr>
          <w:p>
            <w:pPr>
              <w:pStyle w:val="0"/>
              <w:spacing w:line="360" w:lineRule="auto"/>
              <w:rPr>
                <w:rFonts w:hint="default" w:asciiTheme="majorEastAsia" w:hAnsiTheme="majorEastAsia" w:eastAsiaTheme="majorEastAsia"/>
              </w:rPr>
            </w:pPr>
          </w:p>
        </w:tc>
        <w:tc>
          <w:tcPr>
            <w:tcW w:w="7790" w:type="dxa"/>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2</w:t>
            </w:r>
            <w:r>
              <w:rPr>
                <w:rFonts w:hint="eastAsia" w:asciiTheme="majorEastAsia" w:hAnsiTheme="majorEastAsia" w:eastAsiaTheme="majorEastAsia"/>
              </w:rPr>
              <w:t xml:space="preserve">) </w:t>
            </w:r>
            <w:r>
              <w:rPr>
                <w:rFonts w:hint="eastAsia" w:asciiTheme="majorEastAsia" w:hAnsiTheme="majorEastAsia" w:eastAsiaTheme="majorEastAsia"/>
              </w:rPr>
              <w:t>除草等、事業区域内の維持管理について（頻度・方法・内容等）</w:t>
            </w:r>
          </w:p>
        </w:tc>
      </w:tr>
      <w:tr>
        <w:trPr/>
        <w:tc>
          <w:tcPr>
            <w:tcW w:w="704" w:type="dxa"/>
            <w:vMerge w:val="continue"/>
            <w:vAlign w:val="top"/>
          </w:tcPr>
          <w:p>
            <w:pPr>
              <w:pStyle w:val="0"/>
              <w:rPr>
                <w:rFonts w:hint="eastAsia"/>
              </w:rPr>
            </w:pPr>
          </w:p>
        </w:tc>
        <w:tc>
          <w:tcPr>
            <w:tcW w:w="7790" w:type="dxa"/>
            <w:vAlign w:val="top"/>
          </w:tcPr>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3</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台風、洪水、地震等が発生した場合における対応について（異常の有無の確認方法等）</w:t>
            </w:r>
          </w:p>
        </w:tc>
      </w:tr>
      <w:tr>
        <w:trPr/>
        <w:tc>
          <w:tcPr>
            <w:tcW w:w="704" w:type="dxa"/>
            <w:vMerge w:val="continue"/>
            <w:vAlign w:val="top"/>
          </w:tcPr>
          <w:p>
            <w:pPr>
              <w:pStyle w:val="0"/>
              <w:rPr>
                <w:rFonts w:hint="eastAsia"/>
              </w:rPr>
            </w:pPr>
          </w:p>
        </w:tc>
        <w:tc>
          <w:tcPr>
            <w:tcW w:w="7790"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4</w:t>
            </w:r>
            <w:r>
              <w:rPr>
                <w:rFonts w:hint="eastAsia" w:asciiTheme="majorEastAsia" w:hAnsiTheme="majorEastAsia" w:eastAsiaTheme="majorEastAsia"/>
              </w:rPr>
              <w:t xml:space="preserve">) </w:t>
            </w:r>
            <w:r>
              <w:rPr>
                <w:rFonts w:hint="eastAsia" w:asciiTheme="majorEastAsia" w:hAnsiTheme="majorEastAsia" w:eastAsiaTheme="majorEastAsia"/>
              </w:rPr>
              <w:t>事故発生時の連絡体制について</w:t>
            </w:r>
          </w:p>
          <w:p>
            <w:pPr>
              <w:pStyle w:val="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10</w:t>
            </w:r>
            <w:r>
              <w:rPr>
                <w:rFonts w:hint="eastAsia" w:asciiTheme="majorEastAsia" w:hAnsiTheme="majorEastAsia" w:eastAsiaTheme="majorEastAsia"/>
              </w:rPr>
              <w:t>キロワット以上の設備について、事故が発生した場合には、電気関係報告規則に基づき、</w:t>
            </w:r>
            <w:r>
              <w:rPr>
                <w:rFonts w:hint="eastAsia" w:asciiTheme="majorEastAsia" w:hAnsiTheme="majorEastAsia" w:eastAsiaTheme="majorEastAsia"/>
              </w:rPr>
              <w:t>24</w:t>
            </w:r>
            <w:r>
              <w:rPr>
                <w:rFonts w:hint="eastAsia" w:asciiTheme="majorEastAsia" w:hAnsiTheme="majorEastAsia" w:eastAsiaTheme="majorEastAsia"/>
              </w:rPr>
              <w:t>時間以内に国への報告する義務があります。</w:t>
            </w:r>
          </w:p>
        </w:tc>
      </w:tr>
      <w:tr>
        <w:trPr/>
        <w:tc>
          <w:tcPr>
            <w:tcW w:w="704" w:type="dxa"/>
            <w:vMerge w:val="continue"/>
            <w:vAlign w:val="top"/>
          </w:tcPr>
          <w:p>
            <w:pPr>
              <w:pStyle w:val="0"/>
              <w:rPr>
                <w:rFonts w:hint="eastAsia"/>
              </w:rPr>
            </w:pPr>
          </w:p>
        </w:tc>
        <w:tc>
          <w:tcPr>
            <w:tcW w:w="7790"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(5)</w:t>
            </w:r>
            <w:r>
              <w:rPr>
                <w:rFonts w:hint="default" w:asciiTheme="majorEastAsia" w:hAnsiTheme="majorEastAsia" w:eastAsiaTheme="majorEastAsia"/>
              </w:rPr>
              <w:t xml:space="preserve"> </w:t>
            </w:r>
            <w:r>
              <w:rPr>
                <w:rFonts w:hint="eastAsia" w:asciiTheme="majorEastAsia" w:hAnsiTheme="majorEastAsia" w:eastAsiaTheme="majorEastAsia"/>
              </w:rPr>
              <w:t>非常時の連絡先について</w:t>
            </w:r>
          </w:p>
          <w:p>
            <w:pPr>
              <w:pStyle w:val="0"/>
              <w:rPr>
                <w:rFonts w:hint="default" w:asciiTheme="majorEastAsia" w:hAnsiTheme="majorEastAsia" w:eastAsiaTheme="majorEastAsia"/>
              </w:rPr>
            </w:pPr>
            <w:r>
              <w:rPr>
                <w:rFonts w:hint="eastAsia" w:asciiTheme="majorEastAsia" w:hAnsiTheme="majorEastAsia" w:eastAsiaTheme="majorEastAsia"/>
              </w:rPr>
              <w:t>※標識を設置するほか、非常時に確実に連絡がとれる連絡先を十分に周知してください。</w:t>
            </w:r>
          </w:p>
        </w:tc>
      </w:tr>
      <w:tr>
        <w:trPr/>
        <w:tc>
          <w:tcPr>
            <w:tcW w:w="704" w:type="dxa"/>
            <w:vMerge w:val="continue"/>
            <w:vAlign w:val="top"/>
          </w:tcPr>
          <w:p>
            <w:pPr>
              <w:pStyle w:val="0"/>
              <w:rPr>
                <w:rFonts w:hint="eastAsia"/>
              </w:rPr>
            </w:pPr>
          </w:p>
        </w:tc>
        <w:tc>
          <w:tcPr>
            <w:tcW w:w="7790" w:type="dxa"/>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(6</w:t>
            </w:r>
            <w:bookmarkStart w:id="0" w:name="_GoBack"/>
            <w:bookmarkEnd w:id="0"/>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その他必要事項</w:t>
            </w:r>
          </w:p>
        </w:tc>
      </w:tr>
      <w:tr>
        <w:trPr/>
        <w:tc>
          <w:tcPr>
            <w:tcW w:w="70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w:t>
            </w:r>
          </w:p>
        </w:tc>
        <w:tc>
          <w:tcPr>
            <w:tcW w:w="7790"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５　工事中の騒音及び振動の対策</w:t>
            </w:r>
          </w:p>
          <w:p>
            <w:pPr>
              <w:pStyle w:val="0"/>
              <w:rPr>
                <w:rFonts w:hint="default" w:asciiTheme="majorEastAsia" w:hAnsiTheme="majorEastAsia" w:eastAsiaTheme="majorEastAsia"/>
              </w:rPr>
            </w:pPr>
            <w:r>
              <w:rPr>
                <w:rFonts w:hint="eastAsia" w:asciiTheme="majorEastAsia" w:hAnsiTheme="majorEastAsia" w:eastAsiaTheme="majorEastAsia"/>
              </w:rPr>
              <w:t>　（作業工程・作業日時・作業方法等について）</w:t>
            </w:r>
          </w:p>
        </w:tc>
      </w:tr>
      <w:tr>
        <w:trPr/>
        <w:tc>
          <w:tcPr>
            <w:tcW w:w="70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w:t>
            </w:r>
          </w:p>
        </w:tc>
        <w:tc>
          <w:tcPr>
            <w:tcW w:w="7790"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６　工事中の資材等の搬出入等の管理の方法</w:t>
            </w:r>
          </w:p>
          <w:p>
            <w:pPr>
              <w:pStyle w:val="0"/>
              <w:rPr>
                <w:rFonts w:hint="default" w:asciiTheme="majorEastAsia" w:hAnsiTheme="majorEastAsia" w:eastAsiaTheme="majorEastAsia"/>
              </w:rPr>
            </w:pPr>
            <w:r>
              <w:rPr>
                <w:rFonts w:hint="eastAsia" w:asciiTheme="majorEastAsia" w:hAnsiTheme="majorEastAsia" w:eastAsiaTheme="majorEastAsia"/>
              </w:rPr>
              <w:t>　（搬出入の日時・資材等の一時保管及び廃棄方法等について）</w:t>
            </w:r>
          </w:p>
        </w:tc>
      </w:tr>
      <w:tr>
        <w:trPr/>
        <w:tc>
          <w:tcPr>
            <w:tcW w:w="704" w:type="dxa"/>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w:t>
            </w:r>
          </w:p>
        </w:tc>
        <w:tc>
          <w:tcPr>
            <w:tcW w:w="7790" w:type="dxa"/>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７　発電事業の終了時の太陽光発電設備の撤去に係る資金計画</w:t>
            </w:r>
          </w:p>
        </w:tc>
      </w:tr>
      <w:tr>
        <w:trPr/>
        <w:tc>
          <w:tcPr>
            <w:tcW w:w="704" w:type="dxa"/>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w:t>
            </w:r>
          </w:p>
        </w:tc>
        <w:tc>
          <w:tcPr>
            <w:tcW w:w="7790" w:type="dxa"/>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８　市の意見書への対応（事前協議対象の特定事業に限る。）</w:t>
            </w:r>
          </w:p>
        </w:tc>
      </w:tr>
      <w:tr>
        <w:trPr/>
        <w:tc>
          <w:tcPr>
            <w:tcW w:w="704" w:type="dxa"/>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w:t>
            </w:r>
          </w:p>
        </w:tc>
        <w:tc>
          <w:tcPr>
            <w:tcW w:w="7790" w:type="dxa"/>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９　その他市長が必要と認めるもの</w:t>
            </w: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995</TotalTime>
  <Pages>2</Pages>
  <Words>170</Words>
  <Characters>975</Characters>
  <Application>JUST Note</Application>
  <Lines>8</Lines>
  <Paragraphs>2</Paragraphs>
  <Company>長野市役所</Company>
  <CharactersWithSpaces>1143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原　勇貴</dc:creator>
  <cp:lastModifiedBy>原　勇貴</cp:lastModifiedBy>
  <cp:lastPrinted>2021-01-07T00:16:00Z</cp:lastPrinted>
  <dcterms:created xsi:type="dcterms:W3CDTF">2021-09-27T03:50:00Z</dcterms:created>
  <dcterms:modified xsi:type="dcterms:W3CDTF">2021-09-27T03:51:45Z</dcterms:modified>
  <cp:revision>2476</cp:revision>
</cp:coreProperties>
</file>