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718" w:rsidRPr="006D0EDB" w:rsidRDefault="001F0F6E" w:rsidP="003D789B">
      <w:pPr>
        <w:jc w:val="center"/>
        <w:rPr>
          <w:rFonts w:asciiTheme="majorEastAsia" w:eastAsiaTheme="majorEastAsia" w:hAnsiTheme="majorEastAsia"/>
          <w:b/>
          <w:sz w:val="28"/>
          <w:szCs w:val="28"/>
        </w:rPr>
      </w:pPr>
      <w:r w:rsidRPr="006D0EDB">
        <w:rPr>
          <w:rFonts w:asciiTheme="majorEastAsia" w:eastAsiaTheme="majorEastAsia" w:hAnsiTheme="majorEastAsia" w:hint="eastAsia"/>
          <w:b/>
          <w:sz w:val="28"/>
          <w:szCs w:val="28"/>
        </w:rPr>
        <w:t>現行計画の課題整理と</w:t>
      </w:r>
      <w:r w:rsidR="00EE3824" w:rsidRPr="006D0EDB">
        <w:rPr>
          <w:rFonts w:asciiTheme="majorEastAsia" w:eastAsiaTheme="majorEastAsia" w:hAnsiTheme="majorEastAsia" w:hint="eastAsia"/>
          <w:b/>
          <w:sz w:val="28"/>
          <w:szCs w:val="28"/>
        </w:rPr>
        <w:t>次期計画</w:t>
      </w:r>
      <w:r w:rsidRPr="006D0EDB">
        <w:rPr>
          <w:rFonts w:asciiTheme="majorEastAsia" w:eastAsiaTheme="majorEastAsia" w:hAnsiTheme="majorEastAsia" w:hint="eastAsia"/>
          <w:b/>
          <w:sz w:val="28"/>
          <w:szCs w:val="28"/>
        </w:rPr>
        <w:t>に向けた検討</w:t>
      </w:r>
      <w:r w:rsidR="00EE3824" w:rsidRPr="006D0EDB">
        <w:rPr>
          <w:rFonts w:asciiTheme="majorEastAsia" w:eastAsiaTheme="majorEastAsia" w:hAnsiTheme="majorEastAsia" w:hint="eastAsia"/>
          <w:b/>
          <w:sz w:val="28"/>
          <w:szCs w:val="28"/>
        </w:rPr>
        <w:t>について</w:t>
      </w:r>
    </w:p>
    <w:p w:rsidR="003D789B" w:rsidRPr="001F0F6E" w:rsidRDefault="003D789B" w:rsidP="003D789B">
      <w:pPr>
        <w:jc w:val="center"/>
      </w:pPr>
    </w:p>
    <w:p w:rsidR="00791515" w:rsidRPr="006D0EDB" w:rsidRDefault="00ED49B9" w:rsidP="00791515">
      <w:pPr>
        <w:rPr>
          <w:rFonts w:asciiTheme="majorEastAsia" w:eastAsiaTheme="majorEastAsia" w:hAnsiTheme="majorEastAsia"/>
          <w:b/>
        </w:rPr>
      </w:pPr>
      <w:r w:rsidRPr="006D0EDB">
        <w:rPr>
          <w:rFonts w:asciiTheme="majorEastAsia" w:eastAsiaTheme="majorEastAsia" w:hAnsiTheme="majorEastAsia" w:hint="eastAsia"/>
          <w:b/>
          <w:u w:val="single"/>
        </w:rPr>
        <w:t xml:space="preserve">１　</w:t>
      </w:r>
      <w:r w:rsidR="00546718" w:rsidRPr="006D0EDB">
        <w:rPr>
          <w:rFonts w:asciiTheme="majorEastAsia" w:eastAsiaTheme="majorEastAsia" w:hAnsiTheme="majorEastAsia" w:hint="eastAsia"/>
          <w:b/>
          <w:u w:val="single"/>
        </w:rPr>
        <w:t>歴史まちづくり</w:t>
      </w:r>
      <w:r w:rsidRPr="006D0EDB">
        <w:rPr>
          <w:rFonts w:asciiTheme="majorEastAsia" w:eastAsiaTheme="majorEastAsia" w:hAnsiTheme="majorEastAsia" w:hint="eastAsia"/>
          <w:b/>
          <w:u w:val="single"/>
        </w:rPr>
        <w:t>計画</w:t>
      </w:r>
      <w:r w:rsidR="00546718" w:rsidRPr="006D0EDB">
        <w:rPr>
          <w:rFonts w:asciiTheme="majorEastAsia" w:eastAsiaTheme="majorEastAsia" w:hAnsiTheme="majorEastAsia" w:hint="eastAsia"/>
          <w:b/>
          <w:u w:val="single"/>
        </w:rPr>
        <w:t>の進捗状況</w:t>
      </w:r>
      <w:r w:rsidR="00D45F9E" w:rsidRPr="006D0EDB">
        <w:rPr>
          <w:rFonts w:asciiTheme="majorEastAsia" w:eastAsiaTheme="majorEastAsia" w:hAnsiTheme="majorEastAsia" w:hint="eastAsia"/>
          <w:b/>
          <w:u w:val="single"/>
        </w:rPr>
        <w:t xml:space="preserve">　（</w:t>
      </w:r>
      <w:r w:rsidRPr="006D0EDB">
        <w:rPr>
          <w:rFonts w:asciiTheme="majorEastAsia" w:eastAsiaTheme="majorEastAsia" w:hAnsiTheme="majorEastAsia" w:hint="eastAsia"/>
          <w:b/>
          <w:u w:val="single"/>
        </w:rPr>
        <w:t>中間報告より</w:t>
      </w:r>
      <w:r w:rsidR="00D45F9E" w:rsidRPr="006D0EDB">
        <w:rPr>
          <w:rFonts w:asciiTheme="majorEastAsia" w:eastAsiaTheme="majorEastAsia" w:hAnsiTheme="majorEastAsia" w:hint="eastAsia"/>
          <w:b/>
          <w:u w:val="single"/>
        </w:rPr>
        <w:t>）</w:t>
      </w:r>
      <w:r w:rsidR="006D0EDB">
        <w:rPr>
          <w:rFonts w:asciiTheme="majorEastAsia" w:eastAsiaTheme="majorEastAsia" w:hAnsiTheme="majorEastAsia" w:hint="eastAsia"/>
          <w:b/>
          <w:u w:val="single"/>
        </w:rPr>
        <w:t xml:space="preserve">　</w:t>
      </w:r>
    </w:p>
    <w:tbl>
      <w:tblPr>
        <w:tblStyle w:val="aa"/>
        <w:tblW w:w="9009" w:type="dxa"/>
        <w:tblInd w:w="279" w:type="dxa"/>
        <w:tblLayout w:type="fixed"/>
        <w:tblLook w:val="04A0" w:firstRow="1" w:lastRow="0" w:firstColumn="1" w:lastColumn="0" w:noHBand="0" w:noVBand="1"/>
      </w:tblPr>
      <w:tblGrid>
        <w:gridCol w:w="425"/>
        <w:gridCol w:w="425"/>
        <w:gridCol w:w="8159"/>
      </w:tblGrid>
      <w:tr w:rsidR="00A37BC0" w:rsidTr="00DE0441">
        <w:trPr>
          <w:trHeight w:val="524"/>
        </w:trPr>
        <w:tc>
          <w:tcPr>
            <w:tcW w:w="9009" w:type="dxa"/>
            <w:gridSpan w:val="3"/>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2F5496" w:themeFill="accent5" w:themeFillShade="BF"/>
          </w:tcPr>
          <w:p w:rsidR="00A37BC0" w:rsidRPr="00A37BC0" w:rsidRDefault="00A37BC0" w:rsidP="00147219">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color w:val="FFFFFF" w:themeColor="background1"/>
              </w:rPr>
              <w:t>現状</w:t>
            </w:r>
            <w:r w:rsidR="005169F1">
              <w:rPr>
                <w:rFonts w:ascii="小塚ゴシック Pro H" w:eastAsia="小塚ゴシック Pro H" w:hAnsi="小塚ゴシック Pro H" w:hint="eastAsia"/>
                <w:color w:val="FFFFFF" w:themeColor="background1"/>
              </w:rPr>
              <w:t>の</w:t>
            </w:r>
            <w:r w:rsidRPr="00A37BC0">
              <w:rPr>
                <w:rFonts w:ascii="小塚ゴシック Pro H" w:eastAsia="小塚ゴシック Pro H" w:hAnsi="小塚ゴシック Pro H" w:hint="eastAsia"/>
                <w:color w:val="FFFFFF" w:themeColor="background1"/>
              </w:rPr>
              <w:t>課題と今後の方針</w:t>
            </w:r>
          </w:p>
        </w:tc>
      </w:tr>
      <w:tr w:rsidR="00ED49B9" w:rsidTr="00421389">
        <w:tc>
          <w:tcPr>
            <w:tcW w:w="425" w:type="dxa"/>
            <w:vMerge w:val="restart"/>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extDirection w:val="tbRlV"/>
            <w:vAlign w:val="center"/>
          </w:tcPr>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color w:val="FFFFFF" w:themeColor="background1"/>
              </w:rPr>
            </w:pPr>
            <w:r w:rsidRPr="00A37BC0">
              <w:rPr>
                <w:rFonts w:ascii="小塚ゴシック Pro H" w:eastAsia="小塚ゴシック Pro H" w:hAnsi="小塚ゴシック Pro H" w:hint="eastAsia"/>
                <w:b/>
                <w:bCs/>
                <w:color w:val="FFFFFF" w:themeColor="background1"/>
              </w:rPr>
              <w:t>現状の課題</w:t>
            </w:r>
          </w:p>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color w:val="FFFFFF" w:themeColor="background1"/>
              </w:rPr>
            </w:pPr>
          </w:p>
        </w:tc>
        <w:tc>
          <w:tcPr>
            <w:tcW w:w="425" w:type="dxa"/>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ED49B9" w:rsidRPr="00A37BC0" w:rsidRDefault="00ED49B9" w:rsidP="00A37BC0">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1</w:t>
            </w:r>
          </w:p>
        </w:tc>
        <w:tc>
          <w:tcPr>
            <w:tcW w:w="8159" w:type="dxa"/>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歴史的建造物やまちなみの保全及び伝統的祭礼の継承に関し、保護や支援の対象となっていないものが多く、保護や支援の対象となっている地域・対象であっても、滅失・衰退が進行している。</w:t>
            </w:r>
          </w:p>
        </w:tc>
      </w:tr>
      <w:tr w:rsidR="00ED49B9" w:rsidTr="00421389">
        <w:tc>
          <w:tcPr>
            <w:tcW w:w="4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1" w:themeFillShade="BF"/>
            <w:textDirection w:val="tbRlV"/>
            <w:vAlign w:val="center"/>
          </w:tcPr>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b/>
                <w:bCs/>
                <w:color w:val="FFFFFF" w:themeColor="background1"/>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ED49B9" w:rsidRPr="00A37BC0" w:rsidRDefault="00ED49B9" w:rsidP="00A37BC0">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2</w:t>
            </w:r>
          </w:p>
        </w:tc>
        <w:tc>
          <w:tcPr>
            <w:tcW w:w="81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歴史まちづくりへの市民の理解を得るための情報発信や、歴史的建造物や伝統的祭礼を活用した観光振興が不十分である。</w:t>
            </w:r>
          </w:p>
        </w:tc>
      </w:tr>
      <w:tr w:rsidR="00ED49B9" w:rsidTr="00421389">
        <w:trPr>
          <w:trHeight w:val="615"/>
        </w:trPr>
        <w:tc>
          <w:tcPr>
            <w:tcW w:w="425" w:type="dxa"/>
            <w:vMerge/>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2E74B5" w:themeFill="accent1" w:themeFillShade="BF"/>
            <w:textDirection w:val="tbRlV"/>
            <w:vAlign w:val="center"/>
          </w:tcPr>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b/>
                <w:bCs/>
                <w:color w:val="FFFFFF" w:themeColor="background1"/>
              </w:rPr>
            </w:pPr>
          </w:p>
        </w:tc>
        <w:tc>
          <w:tcPr>
            <w:tcW w:w="42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DEEAF6" w:themeFill="accent1" w:themeFillTint="33"/>
          </w:tcPr>
          <w:p w:rsidR="00ED49B9" w:rsidRPr="00A37BC0" w:rsidRDefault="00ED49B9" w:rsidP="00A37BC0">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3</w:t>
            </w:r>
          </w:p>
        </w:tc>
        <w:tc>
          <w:tcPr>
            <w:tcW w:w="8159"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DEEAF6" w:themeFill="accent1"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歴史的建造物や祭礼の調査研究について、文化財等未指定のものを含めた総合的な把握ができていない。</w:t>
            </w:r>
          </w:p>
        </w:tc>
      </w:tr>
      <w:tr w:rsidR="00ED49B9" w:rsidTr="00421389">
        <w:tc>
          <w:tcPr>
            <w:tcW w:w="425" w:type="dxa"/>
            <w:vMerge w:val="restart"/>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38135" w:themeFill="accent6" w:themeFillShade="BF"/>
            <w:textDirection w:val="tbRlV"/>
            <w:vAlign w:val="center"/>
          </w:tcPr>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color w:val="FFFFFF" w:themeColor="background1"/>
              </w:rPr>
            </w:pPr>
            <w:r w:rsidRPr="00A37BC0">
              <w:rPr>
                <w:rFonts w:ascii="小塚ゴシック Pro H" w:eastAsia="小塚ゴシック Pro H" w:hAnsi="小塚ゴシック Pro H" w:hint="eastAsia"/>
                <w:b/>
                <w:bCs/>
                <w:color w:val="FFFFFF" w:themeColor="background1"/>
              </w:rPr>
              <w:t>今後の対応方針</w:t>
            </w:r>
          </w:p>
          <w:p w:rsidR="00ED49B9" w:rsidRPr="00A37BC0" w:rsidRDefault="00ED49B9" w:rsidP="00ED49B9">
            <w:pPr>
              <w:tabs>
                <w:tab w:val="left" w:pos="567"/>
              </w:tabs>
              <w:adjustRightInd w:val="0"/>
              <w:spacing w:line="240" w:lineRule="exact"/>
              <w:ind w:left="113" w:right="113"/>
              <w:jc w:val="left"/>
              <w:rPr>
                <w:rFonts w:ascii="小塚ゴシック Pro H" w:eastAsia="小塚ゴシック Pro H" w:hAnsi="小塚ゴシック Pro H"/>
                <w:b/>
                <w:bCs/>
                <w:color w:val="FFFFFF" w:themeColor="background1"/>
              </w:rPr>
            </w:pPr>
          </w:p>
        </w:tc>
        <w:tc>
          <w:tcPr>
            <w:tcW w:w="425"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A37BC0" w:rsidRDefault="00ED49B9" w:rsidP="00ED49B9">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1</w:t>
            </w:r>
          </w:p>
        </w:tc>
        <w:tc>
          <w:tcPr>
            <w:tcW w:w="8159" w:type="dxa"/>
            <w:tcBorders>
              <w:top w:val="single" w:sz="12"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歴史的建造物やまちなみの保全及び伝統的祭礼の継承への対応</w:t>
            </w:r>
          </w:p>
          <w:p w:rsidR="00ED49B9" w:rsidRPr="005169F1" w:rsidRDefault="00ED49B9" w:rsidP="00421389">
            <w:pPr>
              <w:tabs>
                <w:tab w:val="left" w:pos="567"/>
              </w:tabs>
              <w:spacing w:line="280" w:lineRule="exact"/>
              <w:ind w:left="192" w:hangingChars="100" w:hanging="192"/>
              <w:jc w:val="left"/>
              <w:rPr>
                <w:rFonts w:ascii="小塚明朝 Pro EL" w:eastAsia="小塚明朝 Pro EL" w:hAnsi="小塚明朝 Pro EL"/>
                <w:sz w:val="20"/>
              </w:rPr>
            </w:pPr>
            <w:r w:rsidRPr="005169F1">
              <w:rPr>
                <w:rFonts w:ascii="小塚明朝 Pro EL" w:eastAsia="小塚明朝 Pro EL" w:hAnsi="小塚明朝 Pro EL" w:hint="eastAsia"/>
                <w:sz w:val="20"/>
              </w:rPr>
              <w:t>❖ 歴史的建造物や伝統的祭礼の継承のために導入している保全制度や支援制度を有効に運用する。</w:t>
            </w:r>
          </w:p>
          <w:p w:rsidR="00ED49B9" w:rsidRPr="005169F1" w:rsidRDefault="00ED49B9" w:rsidP="00421389">
            <w:pPr>
              <w:tabs>
                <w:tab w:val="left" w:pos="567"/>
              </w:tabs>
              <w:spacing w:line="280" w:lineRule="exact"/>
              <w:ind w:left="192" w:hangingChars="100" w:hanging="192"/>
              <w:jc w:val="left"/>
              <w:rPr>
                <w:rFonts w:ascii="小塚明朝 Pro EL" w:eastAsia="小塚明朝 Pro EL" w:hAnsi="小塚明朝 Pro EL"/>
                <w:sz w:val="20"/>
              </w:rPr>
            </w:pPr>
            <w:r w:rsidRPr="005169F1">
              <w:rPr>
                <w:rFonts w:ascii="小塚明朝 Pro EL" w:eastAsia="小塚明朝 Pro EL" w:hAnsi="小塚明朝 Pro EL" w:hint="eastAsia"/>
                <w:sz w:val="20"/>
              </w:rPr>
              <w:t>❖ 地域に合ったまちづくり勉強会を実施し、行政と住民が密に情報を共有して、現在行われている保全制度や支援制度の手法に検討を加えるほか、新たな制度の導入を検討する。</w:t>
            </w:r>
          </w:p>
        </w:tc>
      </w:tr>
      <w:tr w:rsidR="00ED49B9" w:rsidTr="00421389">
        <w:tc>
          <w:tcPr>
            <w:tcW w:w="425"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38135" w:themeFill="accent6" w:themeFillShade="BF"/>
          </w:tcPr>
          <w:p w:rsidR="00ED49B9" w:rsidRPr="00ED49B9" w:rsidRDefault="00ED49B9" w:rsidP="00147219">
            <w:pPr>
              <w:tabs>
                <w:tab w:val="left" w:pos="567"/>
              </w:tabs>
              <w:rPr>
                <w:rFonts w:ascii="小塚明朝 Pro EL" w:eastAsia="小塚明朝 Pro EL" w:hAnsi="小塚明朝 Pro EL"/>
                <w:b/>
                <w:bCs/>
              </w:rPr>
            </w:pPr>
          </w:p>
        </w:tc>
        <w:tc>
          <w:tcPr>
            <w:tcW w:w="4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A37BC0" w:rsidRDefault="00ED49B9" w:rsidP="00ED49B9">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2</w:t>
            </w:r>
          </w:p>
        </w:tc>
        <w:tc>
          <w:tcPr>
            <w:tcW w:w="81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歴史的建造物や伝統的祭礼を活用した観光振興や情報発信への対応</w:t>
            </w:r>
          </w:p>
          <w:p w:rsidR="00ED49B9" w:rsidRPr="005169F1" w:rsidRDefault="00ED49B9" w:rsidP="00421389">
            <w:pPr>
              <w:tabs>
                <w:tab w:val="left" w:pos="567"/>
              </w:tabs>
              <w:spacing w:line="280" w:lineRule="exact"/>
              <w:ind w:left="192" w:hangingChars="100" w:hanging="192"/>
              <w:jc w:val="left"/>
              <w:rPr>
                <w:rFonts w:ascii="小塚明朝 Pro EL" w:eastAsia="小塚明朝 Pro EL" w:hAnsi="小塚明朝 Pro EL"/>
                <w:sz w:val="20"/>
              </w:rPr>
            </w:pPr>
            <w:r w:rsidRPr="005169F1">
              <w:rPr>
                <w:rFonts w:ascii="小塚明朝 Pro EL" w:eastAsia="小塚明朝 Pro EL" w:hAnsi="小塚明朝 Pro EL" w:hint="eastAsia"/>
                <w:sz w:val="20"/>
              </w:rPr>
              <w:t>❖ 観光振興や歴史まちづくりへの理解を促すため、ホームページやツイッター等SNSを活用して、最新の情報を積極的に外部に提供するほか、その他の広報媒体の利用も検討し、実施する。</w:t>
            </w:r>
          </w:p>
          <w:p w:rsidR="00ED49B9" w:rsidRPr="005169F1" w:rsidRDefault="00ED49B9" w:rsidP="00421389">
            <w:pPr>
              <w:tabs>
                <w:tab w:val="left" w:pos="567"/>
              </w:tabs>
              <w:spacing w:line="280" w:lineRule="exact"/>
              <w:ind w:left="192" w:hangingChars="100" w:hanging="192"/>
              <w:jc w:val="left"/>
              <w:rPr>
                <w:rFonts w:ascii="小塚明朝 Pro EL" w:eastAsia="小塚明朝 Pro EL" w:hAnsi="小塚明朝 Pro EL"/>
                <w:sz w:val="20"/>
              </w:rPr>
            </w:pPr>
            <w:r w:rsidRPr="005169F1">
              <w:rPr>
                <w:rFonts w:ascii="小塚明朝 Pro EL" w:eastAsia="小塚明朝 Pro EL" w:hAnsi="小塚明朝 Pro EL" w:hint="eastAsia"/>
                <w:sz w:val="20"/>
              </w:rPr>
              <w:t>❖ 庁内各課の、歴史まちづくりに関連する事業の相乗効果を高めるため、観光部局などとの情報共有を密にし、歴史的資源を活かした着地型観光の促進などについて検討する。</w:t>
            </w:r>
          </w:p>
        </w:tc>
      </w:tr>
      <w:tr w:rsidR="00ED49B9" w:rsidTr="00421389">
        <w:tc>
          <w:tcPr>
            <w:tcW w:w="425"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538135" w:themeFill="accent6" w:themeFillShade="BF"/>
          </w:tcPr>
          <w:p w:rsidR="00ED49B9" w:rsidRPr="00ED49B9" w:rsidRDefault="00ED49B9" w:rsidP="00147219">
            <w:pPr>
              <w:tabs>
                <w:tab w:val="left" w:pos="567"/>
              </w:tabs>
              <w:rPr>
                <w:rFonts w:ascii="小塚明朝 Pro EL" w:eastAsia="小塚明朝 Pro EL" w:hAnsi="小塚明朝 Pro EL"/>
              </w:rPr>
            </w:pPr>
          </w:p>
        </w:tc>
        <w:tc>
          <w:tcPr>
            <w:tcW w:w="42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A37BC0" w:rsidRDefault="00ED49B9" w:rsidP="00ED49B9">
            <w:pPr>
              <w:tabs>
                <w:tab w:val="left" w:pos="567"/>
              </w:tabs>
              <w:rPr>
                <w:rFonts w:ascii="小塚ゴシック Pro H" w:eastAsia="小塚ゴシック Pro H" w:hAnsi="小塚ゴシック Pro H"/>
              </w:rPr>
            </w:pPr>
            <w:r w:rsidRPr="00A37BC0">
              <w:rPr>
                <w:rFonts w:ascii="小塚ゴシック Pro H" w:eastAsia="小塚ゴシック Pro H" w:hAnsi="小塚ゴシック Pro H" w:hint="eastAsia"/>
              </w:rPr>
              <w:t>3</w:t>
            </w:r>
          </w:p>
        </w:tc>
        <w:tc>
          <w:tcPr>
            <w:tcW w:w="81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FD9" w:themeFill="accent6" w:themeFillTint="33"/>
          </w:tcPr>
          <w:p w:rsidR="00ED49B9" w:rsidRPr="005169F1" w:rsidRDefault="00ED49B9" w:rsidP="00A37BC0">
            <w:pPr>
              <w:tabs>
                <w:tab w:val="left" w:pos="567"/>
              </w:tabs>
              <w:spacing w:line="280" w:lineRule="exact"/>
              <w:jc w:val="left"/>
              <w:rPr>
                <w:rFonts w:ascii="小塚明朝 Pro EL" w:eastAsia="小塚明朝 Pro EL" w:hAnsi="小塚明朝 Pro EL"/>
                <w:sz w:val="20"/>
              </w:rPr>
            </w:pPr>
            <w:r w:rsidRPr="005169F1">
              <w:rPr>
                <w:rFonts w:ascii="小塚明朝 Pro EL" w:eastAsia="小塚明朝 Pro EL" w:hAnsi="小塚明朝 Pro EL" w:hint="eastAsia"/>
                <w:sz w:val="20"/>
              </w:rPr>
              <w:t>歴史的建造物や伝統的祭礼の調査研究への対応</w:t>
            </w:r>
          </w:p>
          <w:p w:rsidR="00ED49B9" w:rsidRPr="005169F1" w:rsidRDefault="00ED49B9" w:rsidP="00421389">
            <w:pPr>
              <w:tabs>
                <w:tab w:val="left" w:pos="567"/>
              </w:tabs>
              <w:spacing w:line="280" w:lineRule="exact"/>
              <w:ind w:left="192" w:hangingChars="100" w:hanging="192"/>
              <w:jc w:val="left"/>
              <w:rPr>
                <w:rFonts w:ascii="小塚明朝 Pro EL" w:eastAsia="小塚明朝 Pro EL" w:hAnsi="小塚明朝 Pro EL"/>
                <w:sz w:val="20"/>
              </w:rPr>
            </w:pPr>
            <w:r w:rsidRPr="005169F1">
              <w:rPr>
                <w:rFonts w:ascii="小塚明朝 Pro EL" w:eastAsia="小塚明朝 Pro EL" w:hAnsi="小塚明朝 Pro EL" w:hint="eastAsia"/>
                <w:sz w:val="20"/>
              </w:rPr>
              <w:t>❖ 市民との協働、継続的・計画的な調査体制を確立し、文化財保存活用地域計画の策定等を目的とした調査研究を実施する。</w:t>
            </w:r>
          </w:p>
        </w:tc>
      </w:tr>
    </w:tbl>
    <w:p w:rsidR="004917C1" w:rsidRDefault="004917C1" w:rsidP="00791515"/>
    <w:p w:rsidR="00D45F9E" w:rsidRPr="006D0EDB" w:rsidRDefault="00D45F9E" w:rsidP="00D45F9E">
      <w:pPr>
        <w:ind w:left="203" w:hangingChars="100" w:hanging="203"/>
        <w:rPr>
          <w:rFonts w:asciiTheme="majorEastAsia" w:eastAsiaTheme="majorEastAsia" w:hAnsiTheme="majorEastAsia"/>
          <w:b/>
          <w:u w:val="single"/>
        </w:rPr>
      </w:pPr>
      <w:r w:rsidRPr="006D0EDB">
        <w:rPr>
          <w:rFonts w:asciiTheme="majorEastAsia" w:eastAsiaTheme="majorEastAsia" w:hAnsiTheme="majorEastAsia" w:hint="eastAsia"/>
          <w:b/>
          <w:u w:val="single"/>
        </w:rPr>
        <w:t>２</w:t>
      </w:r>
      <w:r w:rsidR="00270EBC" w:rsidRPr="006D0EDB">
        <w:rPr>
          <w:rFonts w:asciiTheme="majorEastAsia" w:eastAsiaTheme="majorEastAsia" w:hAnsiTheme="majorEastAsia" w:hint="eastAsia"/>
          <w:b/>
          <w:u w:val="single"/>
        </w:rPr>
        <w:t xml:space="preserve">　</w:t>
      </w:r>
      <w:r w:rsidRPr="006D0EDB">
        <w:rPr>
          <w:rFonts w:asciiTheme="majorEastAsia" w:eastAsiaTheme="majorEastAsia" w:hAnsiTheme="majorEastAsia" w:hint="eastAsia"/>
          <w:b/>
          <w:u w:val="single"/>
        </w:rPr>
        <w:t>歴史まちづくり</w:t>
      </w:r>
      <w:r w:rsidR="00035E91" w:rsidRPr="006D0EDB">
        <w:rPr>
          <w:rFonts w:asciiTheme="majorEastAsia" w:eastAsiaTheme="majorEastAsia" w:hAnsiTheme="majorEastAsia" w:hint="eastAsia"/>
          <w:b/>
          <w:u w:val="single"/>
        </w:rPr>
        <w:t>の今後の</w:t>
      </w:r>
      <w:r w:rsidR="00E00C12" w:rsidRPr="006D0EDB">
        <w:rPr>
          <w:rFonts w:asciiTheme="majorEastAsia" w:eastAsiaTheme="majorEastAsia" w:hAnsiTheme="majorEastAsia" w:hint="eastAsia"/>
          <w:b/>
          <w:u w:val="single"/>
        </w:rPr>
        <w:t>課題と対応</w:t>
      </w:r>
      <w:r w:rsidR="006D0EDB">
        <w:rPr>
          <w:rFonts w:asciiTheme="majorEastAsia" w:eastAsiaTheme="majorEastAsia" w:hAnsiTheme="majorEastAsia" w:hint="eastAsia"/>
          <w:b/>
          <w:u w:val="single"/>
        </w:rPr>
        <w:t xml:space="preserve">　</w:t>
      </w:r>
    </w:p>
    <w:p w:rsidR="00791515" w:rsidRDefault="009138A9" w:rsidP="009138A9">
      <w:pPr>
        <w:pStyle w:val="a3"/>
        <w:numPr>
          <w:ilvl w:val="0"/>
          <w:numId w:val="7"/>
        </w:numPr>
        <w:tabs>
          <w:tab w:val="left" w:pos="567"/>
        </w:tabs>
        <w:ind w:leftChars="0" w:left="426" w:hanging="284"/>
      </w:pPr>
      <w:r>
        <w:t xml:space="preserve"> </w:t>
      </w:r>
      <w:r w:rsidR="00791515">
        <w:rPr>
          <w:rFonts w:hint="eastAsia"/>
        </w:rPr>
        <w:t>中間評価により抽出した課題への対応</w:t>
      </w:r>
      <w:r w:rsidR="004917C1">
        <w:rPr>
          <w:rFonts w:hint="eastAsia"/>
        </w:rPr>
        <w:t xml:space="preserve">　</w:t>
      </w:r>
    </w:p>
    <w:p w:rsidR="00E00C12" w:rsidRPr="00E00C12" w:rsidRDefault="00E00C12" w:rsidP="009138A9">
      <w:pPr>
        <w:pStyle w:val="a3"/>
        <w:widowControl/>
        <w:numPr>
          <w:ilvl w:val="0"/>
          <w:numId w:val="7"/>
        </w:numPr>
        <w:tabs>
          <w:tab w:val="left" w:pos="426"/>
          <w:tab w:val="left" w:pos="709"/>
        </w:tabs>
        <w:ind w:leftChars="0" w:left="426" w:hanging="284"/>
        <w:jc w:val="left"/>
        <w:rPr>
          <w:b/>
          <w:u w:val="single"/>
        </w:rPr>
      </w:pPr>
      <w:r>
        <w:rPr>
          <w:rFonts w:hint="eastAsia"/>
        </w:rPr>
        <w:t xml:space="preserve"> </w:t>
      </w:r>
      <w:r>
        <w:rPr>
          <w:rFonts w:hint="eastAsia"/>
        </w:rPr>
        <w:t>地域の活性化に向けた課題への対応</w:t>
      </w:r>
    </w:p>
    <w:p w:rsidR="00E00C12" w:rsidRDefault="00E00C12" w:rsidP="00E00C12">
      <w:pPr>
        <w:pStyle w:val="a3"/>
        <w:widowControl/>
        <w:tabs>
          <w:tab w:val="left" w:pos="426"/>
          <w:tab w:val="left" w:pos="709"/>
        </w:tabs>
        <w:ind w:leftChars="0" w:left="426"/>
        <w:jc w:val="left"/>
      </w:pPr>
      <w:r>
        <w:rPr>
          <w:rFonts w:hint="eastAsia"/>
        </w:rPr>
        <w:t>・</w:t>
      </w:r>
      <w:r w:rsidR="00F00DE3">
        <w:rPr>
          <w:rFonts w:hint="eastAsia"/>
        </w:rPr>
        <w:t>地域の</w:t>
      </w:r>
      <w:r w:rsidR="00B94FA3">
        <w:rPr>
          <w:rFonts w:hint="eastAsia"/>
        </w:rPr>
        <w:t>歴史文化を活かした</w:t>
      </w:r>
      <w:r w:rsidR="00861AD8">
        <w:rPr>
          <w:rFonts w:hint="eastAsia"/>
        </w:rPr>
        <w:t>産業</w:t>
      </w:r>
      <w:r>
        <w:rPr>
          <w:rFonts w:hint="eastAsia"/>
        </w:rPr>
        <w:t>振興</w:t>
      </w:r>
      <w:r w:rsidR="00861AD8">
        <w:rPr>
          <w:rFonts w:hint="eastAsia"/>
        </w:rPr>
        <w:t>（観光</w:t>
      </w:r>
      <w:r w:rsidR="00663B18">
        <w:rPr>
          <w:rFonts w:hint="eastAsia"/>
        </w:rPr>
        <w:t>業</w:t>
      </w:r>
      <w:r w:rsidR="00861AD8">
        <w:rPr>
          <w:rFonts w:hint="eastAsia"/>
        </w:rPr>
        <w:t>、建設業、飲食業等）</w:t>
      </w:r>
      <w:r w:rsidR="002D3CF0">
        <w:rPr>
          <w:rFonts w:hint="eastAsia"/>
        </w:rPr>
        <w:t>、</w:t>
      </w:r>
      <w:r w:rsidR="00F00DE3">
        <w:rPr>
          <w:rFonts w:hint="eastAsia"/>
        </w:rPr>
        <w:t>移住・起業</w:t>
      </w:r>
      <w:r>
        <w:rPr>
          <w:rFonts w:hint="eastAsia"/>
        </w:rPr>
        <w:t>の促進</w:t>
      </w:r>
    </w:p>
    <w:p w:rsidR="004A0D7B" w:rsidRPr="004A0D7B" w:rsidRDefault="00E00C12" w:rsidP="00E00C12">
      <w:pPr>
        <w:pStyle w:val="a3"/>
        <w:widowControl/>
        <w:tabs>
          <w:tab w:val="left" w:pos="426"/>
          <w:tab w:val="left" w:pos="709"/>
        </w:tabs>
        <w:ind w:leftChars="0" w:left="426"/>
        <w:jc w:val="left"/>
        <w:rPr>
          <w:b/>
          <w:u w:val="single"/>
        </w:rPr>
      </w:pPr>
      <w:r>
        <w:rPr>
          <w:rFonts w:hint="eastAsia"/>
        </w:rPr>
        <w:t>・</w:t>
      </w:r>
      <w:r w:rsidR="00F00DE3">
        <w:rPr>
          <w:rFonts w:hint="eastAsia"/>
        </w:rPr>
        <w:t>歴史文化の担い手育成</w:t>
      </w:r>
      <w:r>
        <w:rPr>
          <w:rFonts w:hint="eastAsia"/>
        </w:rPr>
        <w:t>等</w:t>
      </w:r>
      <w:r w:rsidR="00F00DE3">
        <w:rPr>
          <w:rFonts w:hint="eastAsia"/>
        </w:rPr>
        <w:t>を通じた</w:t>
      </w:r>
      <w:r>
        <w:rPr>
          <w:rFonts w:hint="eastAsia"/>
        </w:rPr>
        <w:t>地域</w:t>
      </w:r>
      <w:r w:rsidR="00D74EE1">
        <w:rPr>
          <w:rFonts w:hint="eastAsia"/>
        </w:rPr>
        <w:t>コミュニティー</w:t>
      </w:r>
      <w:r w:rsidR="00F00DE3">
        <w:rPr>
          <w:rFonts w:hint="eastAsia"/>
        </w:rPr>
        <w:t>活性化</w:t>
      </w:r>
    </w:p>
    <w:p w:rsidR="004A0D7B" w:rsidRDefault="004A0D7B" w:rsidP="004A0D7B">
      <w:pPr>
        <w:widowControl/>
        <w:tabs>
          <w:tab w:val="left" w:pos="426"/>
        </w:tabs>
        <w:ind w:left="66"/>
        <w:jc w:val="left"/>
        <w:rPr>
          <w:b/>
          <w:u w:val="single"/>
        </w:rPr>
      </w:pPr>
    </w:p>
    <w:p w:rsidR="00D20C20" w:rsidRPr="006D0EDB" w:rsidRDefault="00D20C20" w:rsidP="004A0D7B">
      <w:pPr>
        <w:widowControl/>
        <w:tabs>
          <w:tab w:val="left" w:pos="426"/>
        </w:tabs>
        <w:ind w:left="66"/>
        <w:jc w:val="left"/>
        <w:rPr>
          <w:rFonts w:asciiTheme="majorEastAsia" w:eastAsiaTheme="majorEastAsia" w:hAnsiTheme="majorEastAsia"/>
          <w:b/>
          <w:u w:val="single"/>
        </w:rPr>
      </w:pPr>
      <w:r w:rsidRPr="006D0EDB">
        <w:rPr>
          <w:rFonts w:asciiTheme="majorEastAsia" w:eastAsiaTheme="majorEastAsia" w:hAnsiTheme="majorEastAsia" w:hint="eastAsia"/>
          <w:b/>
          <w:u w:val="single"/>
        </w:rPr>
        <w:t xml:space="preserve">３　</w:t>
      </w:r>
      <w:r w:rsidR="00E00C12" w:rsidRPr="006D0EDB">
        <w:rPr>
          <w:rFonts w:asciiTheme="majorEastAsia" w:eastAsiaTheme="majorEastAsia" w:hAnsiTheme="majorEastAsia" w:hint="eastAsia"/>
          <w:b/>
          <w:u w:val="single"/>
        </w:rPr>
        <w:t>第2期計画作成に向けた検討について</w:t>
      </w:r>
      <w:r w:rsidRPr="006D0EDB">
        <w:rPr>
          <w:rFonts w:asciiTheme="majorEastAsia" w:eastAsiaTheme="majorEastAsia" w:hAnsiTheme="majorEastAsia" w:hint="eastAsia"/>
          <w:b/>
          <w:u w:val="single"/>
        </w:rPr>
        <w:t xml:space="preserve">　</w:t>
      </w:r>
    </w:p>
    <w:p w:rsidR="002D3CF0" w:rsidRDefault="00D20C20" w:rsidP="002D3CF0">
      <w:pPr>
        <w:ind w:left="202" w:hangingChars="100" w:hanging="202"/>
      </w:pPr>
      <w:r>
        <w:rPr>
          <w:rFonts w:hint="eastAsia"/>
        </w:rPr>
        <w:t xml:space="preserve">　</w:t>
      </w:r>
      <w:r w:rsidR="00CA2C9B">
        <w:rPr>
          <w:rFonts w:hint="eastAsia"/>
        </w:rPr>
        <w:t xml:space="preserve">　</w:t>
      </w:r>
      <w:r w:rsidR="002D3CF0">
        <w:rPr>
          <w:rFonts w:hint="eastAsia"/>
        </w:rPr>
        <w:t>中間報告の</w:t>
      </w:r>
      <w:r w:rsidR="00CA2C9B">
        <w:rPr>
          <w:rFonts w:hint="eastAsia"/>
        </w:rPr>
        <w:t>課題</w:t>
      </w:r>
      <w:r w:rsidR="002D3CF0">
        <w:rPr>
          <w:rFonts w:hint="eastAsia"/>
        </w:rPr>
        <w:t>対策に加え</w:t>
      </w:r>
      <w:r w:rsidR="00CA2C9B">
        <w:rPr>
          <w:rFonts w:hint="eastAsia"/>
        </w:rPr>
        <w:t>、移住</w:t>
      </w:r>
      <w:r w:rsidR="005169F1">
        <w:rPr>
          <w:rFonts w:hint="eastAsia"/>
        </w:rPr>
        <w:t>促進</w:t>
      </w:r>
      <w:r w:rsidR="00CA2C9B">
        <w:rPr>
          <w:rFonts w:hint="eastAsia"/>
        </w:rPr>
        <w:t>や</w:t>
      </w:r>
      <w:r w:rsidR="005169F1">
        <w:rPr>
          <w:rFonts w:hint="eastAsia"/>
        </w:rPr>
        <w:t>新たな観光</w:t>
      </w:r>
      <w:r w:rsidR="00AA66D9">
        <w:rPr>
          <w:rFonts w:hint="eastAsia"/>
        </w:rPr>
        <w:t>振興策</w:t>
      </w:r>
      <w:r w:rsidR="005169F1">
        <w:rPr>
          <w:rFonts w:hint="eastAsia"/>
        </w:rPr>
        <w:t>など</w:t>
      </w:r>
      <w:r w:rsidR="002D3CF0">
        <w:rPr>
          <w:rFonts w:hint="eastAsia"/>
        </w:rPr>
        <w:t>、</w:t>
      </w:r>
      <w:r w:rsidR="00CA2C9B">
        <w:rPr>
          <w:rFonts w:hint="eastAsia"/>
        </w:rPr>
        <w:t>地域固有の歴史文化に対する</w:t>
      </w:r>
      <w:r w:rsidR="005169F1">
        <w:rPr>
          <w:rFonts w:hint="eastAsia"/>
        </w:rPr>
        <w:t>期待</w:t>
      </w:r>
      <w:r w:rsidR="00CA2C9B">
        <w:rPr>
          <w:rFonts w:hint="eastAsia"/>
        </w:rPr>
        <w:t>が高まって</w:t>
      </w:r>
      <w:r w:rsidR="005169F1">
        <w:rPr>
          <w:rFonts w:hint="eastAsia"/>
        </w:rPr>
        <w:t>おり、</w:t>
      </w:r>
      <w:r w:rsidR="00AA66D9">
        <w:rPr>
          <w:rFonts w:hint="eastAsia"/>
        </w:rPr>
        <w:t>長期的な戦略を持った総合的な取り組みが必要となっている</w:t>
      </w:r>
      <w:r w:rsidR="00CA2C9B">
        <w:rPr>
          <w:rFonts w:hint="eastAsia"/>
        </w:rPr>
        <w:t>。</w:t>
      </w:r>
      <w:r w:rsidR="002D3CF0">
        <w:rPr>
          <w:rFonts w:hint="eastAsia"/>
        </w:rPr>
        <w:t>来年度</w:t>
      </w:r>
      <w:r w:rsidR="005169F1">
        <w:rPr>
          <w:rFonts w:hint="eastAsia"/>
        </w:rPr>
        <w:t>からは</w:t>
      </w:r>
      <w:r w:rsidR="002D3CF0">
        <w:rPr>
          <w:rFonts w:hint="eastAsia"/>
        </w:rPr>
        <w:t>「文化財保存活用地域計画」作成に伴う歴史文化の総合把握調査</w:t>
      </w:r>
      <w:r w:rsidR="00AA66D9">
        <w:rPr>
          <w:rFonts w:hint="eastAsia"/>
        </w:rPr>
        <w:t>に着手するため</w:t>
      </w:r>
      <w:r w:rsidR="002D3CF0">
        <w:rPr>
          <w:rFonts w:hint="eastAsia"/>
        </w:rPr>
        <w:t>、第</w:t>
      </w:r>
      <w:r w:rsidR="006D0EDB">
        <w:rPr>
          <w:rFonts w:hint="eastAsia"/>
        </w:rPr>
        <w:t>２</w:t>
      </w:r>
      <w:bookmarkStart w:id="0" w:name="_GoBack"/>
      <w:bookmarkEnd w:id="0"/>
      <w:r w:rsidR="002D3CF0">
        <w:rPr>
          <w:rFonts w:hint="eastAsia"/>
        </w:rPr>
        <w:t>期計画作成を見据えた現状課題</w:t>
      </w:r>
      <w:r w:rsidR="00AA66D9">
        <w:rPr>
          <w:rFonts w:hint="eastAsia"/>
        </w:rPr>
        <w:t>整理と共に、行政と</w:t>
      </w:r>
      <w:r w:rsidR="00035E91">
        <w:rPr>
          <w:rFonts w:hint="eastAsia"/>
        </w:rPr>
        <w:t>地域</w:t>
      </w:r>
      <w:r w:rsidR="00AA66D9">
        <w:rPr>
          <w:rFonts w:hint="eastAsia"/>
        </w:rPr>
        <w:t>、民間事業者が協働で進める具体的な対策</w:t>
      </w:r>
      <w:r w:rsidR="002D3CF0">
        <w:rPr>
          <w:rFonts w:hint="eastAsia"/>
        </w:rPr>
        <w:t>を検討したい。</w:t>
      </w:r>
    </w:p>
    <w:p w:rsidR="00381771" w:rsidRDefault="002D3CF0" w:rsidP="002D3CF0">
      <w:pPr>
        <w:ind w:leftChars="100" w:left="202" w:firstLineChars="100" w:firstLine="202"/>
      </w:pPr>
      <w:r>
        <w:rPr>
          <w:rFonts w:hint="eastAsia"/>
        </w:rPr>
        <w:t>また、</w:t>
      </w:r>
      <w:r w:rsidR="00035E91">
        <w:rPr>
          <w:rFonts w:hint="eastAsia"/>
        </w:rPr>
        <w:t>「文化財保存活用地域計画」</w:t>
      </w:r>
      <w:r>
        <w:rPr>
          <w:rFonts w:hint="eastAsia"/>
        </w:rPr>
        <w:t>は</w:t>
      </w:r>
      <w:r w:rsidR="005169F1">
        <w:rPr>
          <w:rFonts w:hint="eastAsia"/>
        </w:rPr>
        <w:t>令和３～</w:t>
      </w:r>
      <w:r w:rsidR="005169F1" w:rsidRPr="006D0EDB">
        <w:rPr>
          <w:rFonts w:asciiTheme="minorEastAsia" w:hAnsiTheme="minorEastAsia" w:hint="eastAsia"/>
        </w:rPr>
        <w:t>５年度の</w:t>
      </w:r>
      <w:r w:rsidR="006D0EDB">
        <w:rPr>
          <w:rFonts w:asciiTheme="minorEastAsia" w:hAnsiTheme="minorEastAsia" w:hint="eastAsia"/>
        </w:rPr>
        <w:t>３</w:t>
      </w:r>
      <w:r w:rsidR="005169F1" w:rsidRPr="006D0EDB">
        <w:rPr>
          <w:rFonts w:asciiTheme="minorEastAsia" w:hAnsiTheme="minorEastAsia" w:hint="eastAsia"/>
        </w:rPr>
        <w:t>年間を作成期間とし、</w:t>
      </w:r>
      <w:r w:rsidRPr="006D0EDB">
        <w:rPr>
          <w:rFonts w:asciiTheme="minorEastAsia" w:hAnsiTheme="minorEastAsia" w:hint="eastAsia"/>
        </w:rPr>
        <w:t>令和</w:t>
      </w:r>
      <w:r w:rsidR="006D0EDB">
        <w:rPr>
          <w:rFonts w:asciiTheme="minorEastAsia" w:hAnsiTheme="minorEastAsia" w:hint="eastAsia"/>
        </w:rPr>
        <w:t>６</w:t>
      </w:r>
      <w:r w:rsidRPr="006D0EDB">
        <w:rPr>
          <w:rFonts w:asciiTheme="minorEastAsia" w:hAnsiTheme="minorEastAsia" w:hint="eastAsia"/>
        </w:rPr>
        <w:t>年度</w:t>
      </w:r>
      <w:r w:rsidR="005169F1" w:rsidRPr="006D0EDB">
        <w:rPr>
          <w:rFonts w:asciiTheme="minorEastAsia" w:hAnsiTheme="minorEastAsia" w:hint="eastAsia"/>
        </w:rPr>
        <w:t>の認定を目指して</w:t>
      </w:r>
      <w:r w:rsidRPr="006D0EDB">
        <w:rPr>
          <w:rFonts w:asciiTheme="minorEastAsia" w:hAnsiTheme="minorEastAsia" w:hint="eastAsia"/>
        </w:rPr>
        <w:t>いるため、</w:t>
      </w:r>
      <w:r w:rsidR="005169F1" w:rsidRPr="006D0EDB">
        <w:rPr>
          <w:rFonts w:asciiTheme="minorEastAsia" w:hAnsiTheme="minorEastAsia" w:hint="eastAsia"/>
        </w:rPr>
        <w:t>現行の歴史まちづくり計画（</w:t>
      </w:r>
      <w:r w:rsidRPr="006D0EDB">
        <w:rPr>
          <w:rFonts w:asciiTheme="minorEastAsia" w:hAnsiTheme="minorEastAsia" w:hint="eastAsia"/>
        </w:rPr>
        <w:t>令和</w:t>
      </w:r>
      <w:r w:rsidR="006D0EDB">
        <w:rPr>
          <w:rFonts w:asciiTheme="minorEastAsia" w:hAnsiTheme="minorEastAsia" w:hint="eastAsia"/>
        </w:rPr>
        <w:t>４</w:t>
      </w:r>
      <w:r w:rsidRPr="006D0EDB">
        <w:rPr>
          <w:rFonts w:asciiTheme="minorEastAsia" w:hAnsiTheme="minorEastAsia" w:hint="eastAsia"/>
        </w:rPr>
        <w:t>年度終了</w:t>
      </w:r>
      <w:r w:rsidR="005169F1" w:rsidRPr="006D0EDB">
        <w:rPr>
          <w:rFonts w:asciiTheme="minorEastAsia" w:hAnsiTheme="minorEastAsia" w:hint="eastAsia"/>
        </w:rPr>
        <w:t>）</w:t>
      </w:r>
      <w:r>
        <w:rPr>
          <w:rFonts w:hint="eastAsia"/>
        </w:rPr>
        <w:t>の計画延長も視野に</w:t>
      </w:r>
      <w:r w:rsidR="005169F1">
        <w:rPr>
          <w:rFonts w:hint="eastAsia"/>
        </w:rPr>
        <w:t>、連携した</w:t>
      </w:r>
      <w:r>
        <w:rPr>
          <w:rFonts w:hint="eastAsia"/>
        </w:rPr>
        <w:t>取組を進め</w:t>
      </w:r>
      <w:r w:rsidR="005169F1">
        <w:rPr>
          <w:rFonts w:hint="eastAsia"/>
        </w:rPr>
        <w:t>たい</w:t>
      </w:r>
      <w:r>
        <w:rPr>
          <w:rFonts w:hint="eastAsia"/>
        </w:rPr>
        <w:t>。</w:t>
      </w:r>
    </w:p>
    <w:sectPr w:rsidR="00381771" w:rsidSect="005169F1">
      <w:headerReference w:type="default" r:id="rId7"/>
      <w:pgSz w:w="11906" w:h="16838" w:code="9"/>
      <w:pgMar w:top="1701" w:right="1418" w:bottom="1701" w:left="1418" w:header="851" w:footer="992" w:gutter="0"/>
      <w:cols w:space="425"/>
      <w:docGrid w:type="linesAndChars" w:linePitch="330" w:charSpace="-1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E6" w:rsidRDefault="006102E6" w:rsidP="003B4E3D">
      <w:r>
        <w:separator/>
      </w:r>
    </w:p>
  </w:endnote>
  <w:endnote w:type="continuationSeparator" w:id="0">
    <w:p w:rsidR="006102E6" w:rsidRDefault="006102E6" w:rsidP="003B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H">
    <w:altName w:val="ＭＳ ゴシック"/>
    <w:panose1 w:val="00000000000000000000"/>
    <w:charset w:val="80"/>
    <w:family w:val="swiss"/>
    <w:notTrueType/>
    <w:pitch w:val="variable"/>
    <w:sig w:usb0="00000283" w:usb1="2AC71C11" w:usb2="00000012" w:usb3="00000000" w:csb0="00020005" w:csb1="00000000"/>
  </w:font>
  <w:font w:name="小塚明朝 Pro EL">
    <w:altName w:val="ＭＳ 明朝"/>
    <w:panose1 w:val="00000000000000000000"/>
    <w:charset w:val="80"/>
    <w:family w:val="roman"/>
    <w:notTrueType/>
    <w:pitch w:val="variable"/>
    <w:sig w:usb0="00000283" w:usb1="2AC71C11"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E6" w:rsidRDefault="006102E6" w:rsidP="003B4E3D">
      <w:r>
        <w:separator/>
      </w:r>
    </w:p>
  </w:footnote>
  <w:footnote w:type="continuationSeparator" w:id="0">
    <w:p w:rsidR="006102E6" w:rsidRDefault="006102E6" w:rsidP="003B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B4" w:rsidRDefault="004C62B4">
    <w:pPr>
      <w:pStyle w:val="a6"/>
    </w:pPr>
    <w:r>
      <w:rPr>
        <w:noProof/>
      </w:rPr>
      <mc:AlternateContent>
        <mc:Choice Requires="wps">
          <w:drawing>
            <wp:anchor distT="45720" distB="45720" distL="114300" distR="114300" simplePos="0" relativeHeight="251659264" behindDoc="0" locked="0" layoutInCell="1" allowOverlap="1">
              <wp:simplePos x="0" y="0"/>
              <wp:positionH relativeFrom="margin">
                <wp:posOffset>4999355</wp:posOffset>
              </wp:positionH>
              <wp:positionV relativeFrom="paragraph">
                <wp:posOffset>-137160</wp:posOffset>
              </wp:positionV>
              <wp:extent cx="900000" cy="360000"/>
              <wp:effectExtent l="0" t="0" r="14605"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360000"/>
                      </a:xfrm>
                      <a:prstGeom prst="rect">
                        <a:avLst/>
                      </a:prstGeom>
                      <a:solidFill>
                        <a:srgbClr val="FFFFFF"/>
                      </a:solidFill>
                      <a:ln w="9525">
                        <a:solidFill>
                          <a:srgbClr val="000000"/>
                        </a:solidFill>
                        <a:miter lim="800000"/>
                        <a:headEnd/>
                        <a:tailEnd/>
                      </a:ln>
                    </wps:spPr>
                    <wps:txbx>
                      <w:txbxContent>
                        <w:p w:rsidR="004C62B4" w:rsidRPr="00935A47" w:rsidRDefault="004C62B4" w:rsidP="004C62B4">
                          <w:pPr>
                            <w:jc w:val="center"/>
                            <w:rPr>
                              <w:rFonts w:ascii="ＭＳ Ｐゴシック" w:eastAsia="ＭＳ Ｐゴシック" w:hAnsi="ＭＳ Ｐゴシック"/>
                              <w:sz w:val="28"/>
                              <w:szCs w:val="32"/>
                            </w:rPr>
                          </w:pPr>
                          <w:r w:rsidRPr="00935A47">
                            <w:rPr>
                              <w:rFonts w:ascii="ＭＳ Ｐゴシック" w:eastAsia="ＭＳ Ｐゴシック" w:hAnsi="ＭＳ Ｐゴシック" w:hint="eastAsia"/>
                              <w:sz w:val="28"/>
                              <w:szCs w:val="32"/>
                            </w:rPr>
                            <w:t>資料</w:t>
                          </w:r>
                          <w:r w:rsidR="00935A47" w:rsidRPr="00935A47">
                            <w:rPr>
                              <w:rFonts w:ascii="ＭＳ Ｐゴシック" w:eastAsia="ＭＳ Ｐゴシック" w:hAnsi="ＭＳ Ｐゴシック" w:hint="eastAsia"/>
                              <w:sz w:val="28"/>
                              <w:szCs w:val="32"/>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3.65pt;margin-top:-10.8pt;width:70.85pt;height:2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">
              <v:textbox>
                <w:txbxContent>
                  <w:p w:rsidR="004C62B4" w:rsidRPr="00935A47" w:rsidRDefault="004C62B4" w:rsidP="004C62B4">
                    <w:pPr>
                      <w:jc w:val="center"/>
                      <w:rPr>
                        <w:rFonts w:ascii="ＭＳ Ｐゴシック" w:eastAsia="ＭＳ Ｐゴシック" w:hAnsi="ＭＳ Ｐゴシック"/>
                        <w:sz w:val="28"/>
                        <w:szCs w:val="32"/>
                      </w:rPr>
                    </w:pPr>
                    <w:r w:rsidRPr="00935A47">
                      <w:rPr>
                        <w:rFonts w:ascii="ＭＳ Ｐゴシック" w:eastAsia="ＭＳ Ｐゴシック" w:hAnsi="ＭＳ Ｐゴシック" w:hint="eastAsia"/>
                        <w:sz w:val="28"/>
                        <w:szCs w:val="32"/>
                      </w:rPr>
                      <w:t>資料</w:t>
                    </w:r>
                    <w:r w:rsidR="00935A47" w:rsidRPr="00935A47">
                      <w:rPr>
                        <w:rFonts w:ascii="ＭＳ Ｐゴシック" w:eastAsia="ＭＳ Ｐゴシック" w:hAnsi="ＭＳ Ｐゴシック" w:hint="eastAsia"/>
                        <w:sz w:val="28"/>
                        <w:szCs w:val="32"/>
                      </w:rPr>
                      <w:t>3-1</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151DC"/>
    <w:multiLevelType w:val="hybridMultilevel"/>
    <w:tmpl w:val="19124616"/>
    <w:lvl w:ilvl="0" w:tplc="CFEC06F6">
      <w:start w:val="1"/>
      <w:numFmt w:val="decimalEnclosedCircle"/>
      <w:lvlText w:val="%1"/>
      <w:lvlJc w:val="left"/>
      <w:pPr>
        <w:ind w:left="570" w:hanging="360"/>
      </w:pPr>
      <w:rPr>
        <w:rFonts w:hint="default"/>
      </w:rPr>
    </w:lvl>
    <w:lvl w:ilvl="1" w:tplc="1E3640D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F75D57"/>
    <w:multiLevelType w:val="hybridMultilevel"/>
    <w:tmpl w:val="6098FB36"/>
    <w:lvl w:ilvl="0" w:tplc="DCAEBF16">
      <w:start w:val="1"/>
      <w:numFmt w:val="decimal"/>
      <w:lvlText w:val="(%1)"/>
      <w:lvlJc w:val="left"/>
      <w:pPr>
        <w:ind w:left="786" w:hanging="360"/>
      </w:pPr>
      <w:rPr>
        <w:rFonts w:asciiTheme="majorHAnsi" w:eastAsiaTheme="majorEastAsia" w:hAnsiTheme="majorHAnsi"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7414B9E"/>
    <w:multiLevelType w:val="hybridMultilevel"/>
    <w:tmpl w:val="4A669D14"/>
    <w:lvl w:ilvl="0" w:tplc="066804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E711B64"/>
    <w:multiLevelType w:val="hybridMultilevel"/>
    <w:tmpl w:val="E982C91C"/>
    <w:lvl w:ilvl="0" w:tplc="C5A01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554C30"/>
    <w:multiLevelType w:val="hybridMultilevel"/>
    <w:tmpl w:val="5676403C"/>
    <w:lvl w:ilvl="0" w:tplc="CFEC06F6">
      <w:start w:val="1"/>
      <w:numFmt w:val="decimalEnclosedCircle"/>
      <w:lvlText w:val="%1"/>
      <w:lvlJc w:val="left"/>
      <w:pPr>
        <w:ind w:left="786" w:hanging="360"/>
      </w:pPr>
      <w:rPr>
        <w:rFonts w:hint="default"/>
      </w:rPr>
    </w:lvl>
    <w:lvl w:ilvl="1" w:tplc="1E3640D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594625"/>
    <w:multiLevelType w:val="hybridMultilevel"/>
    <w:tmpl w:val="1502340A"/>
    <w:lvl w:ilvl="0" w:tplc="79C602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33425E"/>
    <w:multiLevelType w:val="hybridMultilevel"/>
    <w:tmpl w:val="518849C8"/>
    <w:lvl w:ilvl="0" w:tplc="F5E4D30E">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86332F7"/>
    <w:multiLevelType w:val="hybridMultilevel"/>
    <w:tmpl w:val="695C819C"/>
    <w:lvl w:ilvl="0" w:tplc="A558C6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5"/>
    <w:rsid w:val="00035E91"/>
    <w:rsid w:val="0007080E"/>
    <w:rsid w:val="000768CC"/>
    <w:rsid w:val="0008083F"/>
    <w:rsid w:val="00082C2D"/>
    <w:rsid w:val="000B50F3"/>
    <w:rsid w:val="000B6CFB"/>
    <w:rsid w:val="000C1F94"/>
    <w:rsid w:val="000E1D98"/>
    <w:rsid w:val="00134031"/>
    <w:rsid w:val="00147219"/>
    <w:rsid w:val="00151C48"/>
    <w:rsid w:val="001769AF"/>
    <w:rsid w:val="001D5544"/>
    <w:rsid w:val="001D5C3F"/>
    <w:rsid w:val="001E3983"/>
    <w:rsid w:val="001F0F6E"/>
    <w:rsid w:val="00203626"/>
    <w:rsid w:val="00204EF0"/>
    <w:rsid w:val="00213B7E"/>
    <w:rsid w:val="00242534"/>
    <w:rsid w:val="002478C6"/>
    <w:rsid w:val="00250E1B"/>
    <w:rsid w:val="00257FAE"/>
    <w:rsid w:val="00270EBC"/>
    <w:rsid w:val="002B30AA"/>
    <w:rsid w:val="002B32A6"/>
    <w:rsid w:val="002D3CF0"/>
    <w:rsid w:val="003724A6"/>
    <w:rsid w:val="003735AB"/>
    <w:rsid w:val="00381771"/>
    <w:rsid w:val="0039207F"/>
    <w:rsid w:val="003A3B2B"/>
    <w:rsid w:val="003B0CE4"/>
    <w:rsid w:val="003B4E3D"/>
    <w:rsid w:val="003D789B"/>
    <w:rsid w:val="00421389"/>
    <w:rsid w:val="004807E1"/>
    <w:rsid w:val="004917C1"/>
    <w:rsid w:val="004A0D7B"/>
    <w:rsid w:val="004C0438"/>
    <w:rsid w:val="004C62B4"/>
    <w:rsid w:val="004E6AC6"/>
    <w:rsid w:val="005169F1"/>
    <w:rsid w:val="00537174"/>
    <w:rsid w:val="00546718"/>
    <w:rsid w:val="00557604"/>
    <w:rsid w:val="005624BD"/>
    <w:rsid w:val="00575B18"/>
    <w:rsid w:val="0059084C"/>
    <w:rsid w:val="005C3DE2"/>
    <w:rsid w:val="005C7389"/>
    <w:rsid w:val="005E26B6"/>
    <w:rsid w:val="006102E6"/>
    <w:rsid w:val="00644EEF"/>
    <w:rsid w:val="00654000"/>
    <w:rsid w:val="00663B18"/>
    <w:rsid w:val="00663EC0"/>
    <w:rsid w:val="006B12C4"/>
    <w:rsid w:val="006C016A"/>
    <w:rsid w:val="006D0EDB"/>
    <w:rsid w:val="00702001"/>
    <w:rsid w:val="00724E58"/>
    <w:rsid w:val="00754CF0"/>
    <w:rsid w:val="00791515"/>
    <w:rsid w:val="007B670E"/>
    <w:rsid w:val="007C0957"/>
    <w:rsid w:val="007C1024"/>
    <w:rsid w:val="0082245D"/>
    <w:rsid w:val="00861AD8"/>
    <w:rsid w:val="00876927"/>
    <w:rsid w:val="00895C2B"/>
    <w:rsid w:val="008B5426"/>
    <w:rsid w:val="008F7A29"/>
    <w:rsid w:val="009138A9"/>
    <w:rsid w:val="00935A47"/>
    <w:rsid w:val="009429EB"/>
    <w:rsid w:val="009862F5"/>
    <w:rsid w:val="009878D5"/>
    <w:rsid w:val="009A3EED"/>
    <w:rsid w:val="00A03C1E"/>
    <w:rsid w:val="00A2199D"/>
    <w:rsid w:val="00A24299"/>
    <w:rsid w:val="00A245B9"/>
    <w:rsid w:val="00A25D05"/>
    <w:rsid w:val="00A37BC0"/>
    <w:rsid w:val="00A438F3"/>
    <w:rsid w:val="00A9295C"/>
    <w:rsid w:val="00AA66D9"/>
    <w:rsid w:val="00AC1E6F"/>
    <w:rsid w:val="00AC49EA"/>
    <w:rsid w:val="00B0550F"/>
    <w:rsid w:val="00B45EFA"/>
    <w:rsid w:val="00B55C56"/>
    <w:rsid w:val="00B94FA3"/>
    <w:rsid w:val="00B96601"/>
    <w:rsid w:val="00B96D05"/>
    <w:rsid w:val="00BA7C0A"/>
    <w:rsid w:val="00BC23F1"/>
    <w:rsid w:val="00BF463B"/>
    <w:rsid w:val="00CA2C9B"/>
    <w:rsid w:val="00CB61BB"/>
    <w:rsid w:val="00CC7B9B"/>
    <w:rsid w:val="00D163A0"/>
    <w:rsid w:val="00D17787"/>
    <w:rsid w:val="00D20C20"/>
    <w:rsid w:val="00D45F9E"/>
    <w:rsid w:val="00D74EE1"/>
    <w:rsid w:val="00DA5D11"/>
    <w:rsid w:val="00DB42E9"/>
    <w:rsid w:val="00DD7AE2"/>
    <w:rsid w:val="00DE0441"/>
    <w:rsid w:val="00DF28B0"/>
    <w:rsid w:val="00E00C12"/>
    <w:rsid w:val="00E23E44"/>
    <w:rsid w:val="00EB04F1"/>
    <w:rsid w:val="00ED149E"/>
    <w:rsid w:val="00ED49B9"/>
    <w:rsid w:val="00EE3824"/>
    <w:rsid w:val="00F00DE3"/>
    <w:rsid w:val="00F0223F"/>
    <w:rsid w:val="00F23C34"/>
    <w:rsid w:val="00F55B84"/>
    <w:rsid w:val="00F966C2"/>
    <w:rsid w:val="00FA4EE9"/>
    <w:rsid w:val="00FB6A62"/>
    <w:rsid w:val="00FD01DA"/>
    <w:rsid w:val="00FF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9B2A08-18CD-43EF-801D-500FE62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515"/>
    <w:pPr>
      <w:ind w:leftChars="400" w:left="840"/>
    </w:pPr>
  </w:style>
  <w:style w:type="paragraph" w:styleId="a4">
    <w:name w:val="Balloon Text"/>
    <w:basedOn w:val="a"/>
    <w:link w:val="a5"/>
    <w:uiPriority w:val="99"/>
    <w:semiHidden/>
    <w:unhideWhenUsed/>
    <w:rsid w:val="005467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6718"/>
    <w:rPr>
      <w:rFonts w:asciiTheme="majorHAnsi" w:eastAsiaTheme="majorEastAsia" w:hAnsiTheme="majorHAnsi" w:cstheme="majorBidi"/>
      <w:sz w:val="18"/>
      <w:szCs w:val="18"/>
    </w:rPr>
  </w:style>
  <w:style w:type="paragraph" w:styleId="a6">
    <w:name w:val="header"/>
    <w:basedOn w:val="a"/>
    <w:link w:val="a7"/>
    <w:uiPriority w:val="99"/>
    <w:unhideWhenUsed/>
    <w:rsid w:val="003B4E3D"/>
    <w:pPr>
      <w:tabs>
        <w:tab w:val="center" w:pos="4252"/>
        <w:tab w:val="right" w:pos="8504"/>
      </w:tabs>
      <w:snapToGrid w:val="0"/>
    </w:pPr>
  </w:style>
  <w:style w:type="character" w:customStyle="1" w:styleId="a7">
    <w:name w:val="ヘッダー (文字)"/>
    <w:basedOn w:val="a0"/>
    <w:link w:val="a6"/>
    <w:uiPriority w:val="99"/>
    <w:rsid w:val="003B4E3D"/>
  </w:style>
  <w:style w:type="paragraph" w:styleId="a8">
    <w:name w:val="footer"/>
    <w:basedOn w:val="a"/>
    <w:link w:val="a9"/>
    <w:uiPriority w:val="99"/>
    <w:unhideWhenUsed/>
    <w:rsid w:val="003B4E3D"/>
    <w:pPr>
      <w:tabs>
        <w:tab w:val="center" w:pos="4252"/>
        <w:tab w:val="right" w:pos="8504"/>
      </w:tabs>
      <w:snapToGrid w:val="0"/>
    </w:pPr>
  </w:style>
  <w:style w:type="character" w:customStyle="1" w:styleId="a9">
    <w:name w:val="フッター (文字)"/>
    <w:basedOn w:val="a0"/>
    <w:link w:val="a8"/>
    <w:uiPriority w:val="99"/>
    <w:rsid w:val="003B4E3D"/>
  </w:style>
  <w:style w:type="table" w:styleId="aa">
    <w:name w:val="Table Grid"/>
    <w:basedOn w:val="a1"/>
    <w:uiPriority w:val="39"/>
    <w:rsid w:val="00ED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630">
      <w:bodyDiv w:val="1"/>
      <w:marLeft w:val="0"/>
      <w:marRight w:val="0"/>
      <w:marTop w:val="0"/>
      <w:marBottom w:val="0"/>
      <w:divBdr>
        <w:top w:val="none" w:sz="0" w:space="0" w:color="auto"/>
        <w:left w:val="none" w:sz="0" w:space="0" w:color="auto"/>
        <w:bottom w:val="none" w:sz="0" w:space="0" w:color="auto"/>
        <w:right w:val="none" w:sz="0" w:space="0" w:color="auto"/>
      </w:divBdr>
    </w:div>
    <w:div w:id="360320109">
      <w:bodyDiv w:val="1"/>
      <w:marLeft w:val="0"/>
      <w:marRight w:val="0"/>
      <w:marTop w:val="0"/>
      <w:marBottom w:val="0"/>
      <w:divBdr>
        <w:top w:val="none" w:sz="0" w:space="0" w:color="auto"/>
        <w:left w:val="none" w:sz="0" w:space="0" w:color="auto"/>
        <w:bottom w:val="none" w:sz="0" w:space="0" w:color="auto"/>
        <w:right w:val="none" w:sz="0" w:space="0" w:color="auto"/>
      </w:divBdr>
    </w:div>
    <w:div w:id="10764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00043386</dc:creator>
  <cp:keywords/>
  <dc:description/>
  <cp:lastModifiedBy>00062075</cp:lastModifiedBy>
  <cp:revision>9</cp:revision>
  <cp:lastPrinted>2021-02-08T23:14:00Z</cp:lastPrinted>
  <dcterms:created xsi:type="dcterms:W3CDTF">2021-02-08T01:46:00Z</dcterms:created>
  <dcterms:modified xsi:type="dcterms:W3CDTF">2021-02-08T23:15:00Z</dcterms:modified>
</cp:coreProperties>
</file>